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BBZ6000GR</w:t>
      </w:r>
    </w:p>
    <w:p>
      <w:r>
        <w:drawing>
          <wp:inline distT="0" distB="0" distL="0" distR="0">
            <wp:extent cx="3324225" cy="2952750"/>
            <wp:effectExtent l="19050" t="0" r="0" b="0"/>
            <wp:docPr id="5" name="/ImageGen.ashx?image=/media/110695/BBZ6000S5GR.jpg&amp;Height=310&amp;Text=&amp;Align=center&amp;FontSize=7" descr=""/>
            <wp:cNvGraphicFramePr>
              <a:graphicFrameLocks noChangeAspect="1"/>
            </wp:cNvGraphicFramePr>
            <a:graphic>
              <a:graphicData uri="http://schemas.openxmlformats.org/drawingml/2006/picture">
                <pic:pic>
                  <pic:nvPicPr>
                    <pic:cNvPr id="2" name="/ImageGen.ashx?image=/media/110695/BBZ6000S5GR.jpg&amp;Height=310&amp;Text=&amp;Align=center&amp;FontSize=7" descr=""/>
                    <pic:cNvPicPr>
                      <a:picLocks noChangeAspect="1" noChangeArrowheads="1"/>
                    </pic:cNvPicPr>
                  </pic:nvPicPr>
                  <pic:blipFill>
                    <a:blip r:embed="R9435bee6f6c24d7b"/>
                    <a:srcRect/>
                    <a:stretch>
                      <a:fillRect/>
                    </a:stretch>
                  </pic:blipFill>
                  <pic:spPr bwMode="auto">
                    <a:xfrm>
                      <a:off x="0" y="0"/>
                      <a:ext cx="3324225"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Groen</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435bee6f6c24d7b" /><Relationship Type="http://schemas.openxmlformats.org/officeDocument/2006/relationships/numbering" Target="/word/numbering.xml" Id="R05f3ff2b83314ab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