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HandGuardz HG1</w:t>
      </w:r>
    </w:p>
    <w:p>
      <w:r>
        <w:drawing>
          <wp:inline distT="0" distB="0" distL="0" distR="0">
            <wp:extent cx="3324225" cy="2952750"/>
            <wp:effectExtent l="19050" t="0" r="0" b="0"/>
            <wp:docPr id="5" name="/ImageGen.ashx?image=/media/110757/handguard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7/handguard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3d7d46e1933442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715" w:type="dxa"/>
      </w:tblPr>
      <w:tblGrid>
        <w:gridCol/>
        <w:gridCol/>
      </w:tblGrid>
      <w:tr>
        <w:tc>
          <w:tcPr>
            <w:tcW w:w="58" w:type="dxa"/>
          </w:tcPr>
          <w:p>
            <w:r>
              <w:t xml:space="preserve">Kleur:</w:t>
            </w:r>
          </w:p>
        </w:tc>
        <w:tc>
          <w:tcPr>
            <w:tcW w:w="166" w:type="dxa"/>
          </w:tcPr>
          <w:p>
            <w:r>
              <w:t xml:space="preserve">Rood-grijs</w:t>
            </w:r>
          </w:p>
        </w:tc>
      </w:tr>
      <w:tr>
        <w:tc>
          <w:tcPr>
            <w:tcW w:w="58" w:type="dxa"/>
          </w:tcPr>
          <w:p>
            <w:r>
              <w:t xml:space="preserve">Toepassing:   </w:t>
            </w:r>
          </w:p>
        </w:tc>
        <w:tc>
          <w:tcPr>
            <w:tcW w:w="166" w:type="dxa"/>
          </w:tcPr>
          <w:p>
            <w:r>
              <w:t xml:space="preserve">Buckler HandGuardz beschermende handschoenen bieden het allerbeste op het gebied van handbescherming.</w:t>
            </w:r>
            <w:r>
              <w:br/>
            </w:r>
            <w:r>
              <w:br/>
            </w:r>
            <w:r>
              <w:t xml:space="preserve">HandGuardz zijn speciaal ontwikkeld en EN-gecertificeerd voor algemeen gebruik in de bouw, landbouw en dergelijke sectoren.</w:t>
            </w:r>
            <w:r>
              <w:br/>
            </w:r>
            <w:r>
              <w:br/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Clarino sterk, ademend (grijs) synthetisch leder.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Stretch Bignet spandex (rood).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non-slip duurzaam, synthetisch leder op palmgrip plaatsen en vingereinden.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Cura Neoprene stretch, dempende vuistbescherming.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Voorgekromd vingerontwerp voor uitstekende pasvorm en grip.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Elastische polsand verstelbaar met klittenband.</w:t>
            </w:r>
          </w:p>
        </w:tc>
      </w:tr>
    </w:tbl>
    <w:p/>
    <w:tbl>
      <w:tblPr>
        <w:tblW w:w="8715" w:type="dxa"/>
        <w:tblStyle w:val=""/>
      </w:tblPr>
      <w:tblGrid>
        <w:gridCol/>
        <w:gridCol/>
      </w:tblGrid>
      <w:tr>
        <w:tc>
          <w:tcPr>
            <w:tcW w:w="58" w:type="dxa"/>
          </w:tcPr>
          <w:p>
            <w:r>
              <w:t xml:space="preserve">Veiligheid:        </w:t>
            </w:r>
          </w:p>
        </w:tc>
        <w:tc>
          <w:tcPr>
            <w:tcW w:w="166" w:type="dxa"/>
          </w:tcPr>
          <w:p>
            <w:r>
              <w:t xml:space="preserve">EN420 en EN388 bedekkende beschermende handschoenen, bestendig tegen snijden, scheuren en doorboren</w:t>
            </w:r>
          </w:p>
        </w:tc>
      </w:tr>
      <w:tr>
        <w:tc>
          <w:tcPr>
            <w:tcW w:w="58" w:type="dxa"/>
          </w:tcPr>
          <w:p>
            <w:r>
              <w:t xml:space="preserve">Maten:</w:t>
            </w:r>
          </w:p>
        </w:tc>
        <w:tc>
          <w:tcPr>
            <w:tcW w:w="166" w:type="dxa"/>
          </w:tcPr>
          <w:p>
            <w:r>
              <w:t xml:space="preserve">L, XL en XXL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3d7d46e1933442e" /><Relationship Type="http://schemas.openxmlformats.org/officeDocument/2006/relationships/numbering" Target="/word/numbering.xml" Id="Rf5fadb671bdc493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