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KF160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397305/kf160-nieuw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05/kf160-nieuw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eae6b576d449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boorstatief, met klein formaat en licht gewicht!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KF160</w:t>
            </w:r>
          </w:p>
        </w:tc>
      </w:tr>
      <w:tr>
        <w:tc>
          <w:tcPr/>
          <w:p>
            <w:r>
              <w:t xml:space="preserve">Boorbereik   </w:t>
            </w:r>
          </w:p>
        </w:tc>
        <w:tc>
          <w:tcPr/>
          <w:p>
            <w:r>
              <w:t xml:space="preserve">10-160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520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11,5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250x180x800</w:t>
            </w:r>
          </w:p>
        </w:tc>
      </w:tr>
      <w:tr>
        <w:tc>
          <w:tcPr/>
          <w:p>
            <w:r>
              <w:t xml:space="preserve">Motorvermogen max.  </w:t>
            </w:r>
          </w:p>
        </w:tc>
        <w:tc>
          <w:tcPr/>
          <w:p>
            <w:r>
              <w:t xml:space="preserve">2,3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M12</w:t>
            </w:r>
          </w:p>
        </w:tc>
      </w:tr>
    </w:tbl>
    <w:p>
      <w:r>
        <w:drawing>
          <wp:inline distT="0" distB="0" distL="0" distR="0">
            <wp:extent cx="2105025" cy="3086100"/>
            <wp:effectExtent l="19050" t="0" r="0" b="0"/>
            <wp:docPr id="6" name="/media/263585/kf160-detail_221x3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85/kf160-detail_221x324.jpg" descr="KF160 Detail"/>
                    <pic:cNvPicPr>
                      <a:picLocks noChangeAspect="1" noChangeArrowheads="1"/>
                    </pic:cNvPicPr>
                  </pic:nvPicPr>
                  <pic:blipFill>
                    <a:blip r:embed="R282bfc70f0b04a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ceae6b576d44981" /><Relationship Type="http://schemas.openxmlformats.org/officeDocument/2006/relationships/image" Target="/media/image3.jpg" Id="R282bfc70f0b04a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