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SR25 Mammut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143191/sr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1/sr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22d2c71fe349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14.7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230/280/340/410/490/570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370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440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322d2c71fe349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