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11130</w:t>
      </w:r>
    </w:p>
    <w:p>
      <w:r>
        <w:drawing>
          <wp:inline distT="0" distB="0" distL="0" distR="0">
            <wp:extent cx="3990974" cy="2952750"/>
            <wp:effectExtent l="19050" t="0" r="0" b="0"/>
            <wp:docPr id="5" name="/ImageGen.ashx?image=/media/143223/automix-1800-18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3/automix-1800-18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6064a365e5a46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Automix</w:t>
      </w:r>
    </w:p>
    <w:p>
      <w:r>
        <w:t xml:space="preserve">voor Automix 1800 / 1801</w:t>
      </w:r>
      <w:r>
        <w:br/>
      </w:r>
      <w:r>
        <w:t xml:space="preserve">M-20 uitwendige draad</w:t>
      </w:r>
    </w:p>
    <w:p>
      <w:r>
        <w:t xml:space="preserve">Speciaal voor speciekuipen ontwikkelde menggardes. Door de brede uitvoering wordt de gehele bodem van de kuip geraakt. Hierdoor ontstaat een goede homogene menging van het te mengen materiaal.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8713265032847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320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490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M20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50 kg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Automix 1800/1801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6064a365e5a46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