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GM 320</w:t>
      </w:r>
    </w:p>
    <w:p>
      <w:r>
        <w:drawing>
          <wp:inline distT="0" distB="0" distL="0" distR="0">
            <wp:extent cx="1666875" cy="2952750"/>
            <wp:effectExtent l="19050" t="0" r="0" b="0"/>
            <wp:docPr id="5" name="/ImageGen.ashx?image=/media/35063/gm320.png&amp;Height=310&amp;Text=&amp;Align=center&amp;FontSize=7" descr=""/>
            <wp:cNvGraphicFramePr>
              <a:graphicFrameLocks noChangeAspect="1"/>
            </wp:cNvGraphicFramePr>
            <a:graphic>
              <a:graphicData uri="http://schemas.openxmlformats.org/drawingml/2006/picture">
                <pic:pic>
                  <pic:nvPicPr>
                    <pic:cNvPr id="2" name="/ImageGen.ashx?image=/media/35063/gm320.png&amp;Height=310&amp;Text=&amp;Align=center&amp;FontSize=7" descr=""/>
                    <pic:cNvPicPr>
                      <a:picLocks noChangeAspect="1" noChangeArrowheads="1"/>
                    </pic:cNvPicPr>
                  </pic:nvPicPr>
                  <pic:blipFill>
                    <a:blip r:embed="Rbd334df340cd48b9"/>
                    <a:srcRect/>
                    <a:stretch>
                      <a:fillRect/>
                    </a:stretch>
                  </pic:blipFill>
                  <pic:spPr bwMode="auto">
                    <a:xfrm>
                      <a:off x="0" y="0"/>
                      <a:ext cx="1666875" cy="2952750"/>
                    </a:xfrm>
                    <a:prstGeom prst="rect">
                      <a:avLst/>
                    </a:prstGeom>
                  </pic:spPr>
                </pic:pic>
              </a:graphicData>
            </a:graphic>
          </wp:inline>
        </w:drawing>
      </w:r>
    </w:p>
    <w:tbl>
      <w:tblPr>
        <w:tblW w:w="auto" w:type="pct"/>
      </w:tblPr>
      <w:tblGrid>
        <w:gridCol/>
      </w:tblGrid>
      <w:tr>
        <w:tc>
          <w:tcPr/>
          <w:p>
            <w:r>
              <w:t/>
            </w:r>
          </w:p>
          <w:tbl>
            <w:tblPr>
              <w:tblW w:w="auto" w:type="pct"/>
            </w:tblPr>
            <w:tblGrid>
              <w:gridCol/>
            </w:tblGrid>
            <w:tr>
              <w:tc>
                <w:tcPr/>
                <w:p>
                  <w:r>
                    <w:t xml:space="preserve">Technische attributen</w:t>
                  </w:r>
                </w:p>
              </w:tc>
            </w:tr>
            <w:tr>
              <w:tc>
                <w:tcPr/>
                <w:p>
                  <w:r>
                    <w:t xml:space="preserve">Aansluitwaarde</w:t>
                  </w:r>
                </w:p>
              </w:tc>
              <w:tc>
                <w:tcPr/>
                <w:p>
                  <w:r>
                    <w:t xml:space="preserve">2 x 230 V</w:t>
                  </w:r>
                </w:p>
              </w:tc>
            </w:tr>
            <w:tr>
              <w:tc>
                <w:tcPr/>
                <w:p>
                  <w:r>
                    <w:t xml:space="preserve">Afmeting (L x B x H)</w:t>
                  </w:r>
                </w:p>
              </w:tc>
              <w:tc>
                <w:tcPr/>
                <w:p>
                  <w:r>
                    <w:t xml:space="preserve">1170 x 650 x 1750 mm</w:t>
                  </w:r>
                </w:p>
              </w:tc>
            </w:tr>
            <w:tr>
              <w:tc>
                <w:tcPr/>
                <w:p>
                  <w:r>
                    <w:t xml:space="preserve">Gereedschapsopname</w:t>
                  </w:r>
                </w:p>
              </w:tc>
              <w:tc>
                <w:tcPr/>
                <w:p>
                  <w:r>
                    <w:t xml:space="preserve">alle Giraffe-types (uitgezonderd WSE 7)</w:t>
                  </w:r>
                </w:p>
              </w:tc>
            </w:tr>
            <w:tr>
              <w:tc>
                <w:tcPr/>
                <w:p>
                  <w:r>
                    <w:t xml:space="preserve">Max. werkhoogte</w:t>
                  </w:r>
                </w:p>
              </w:tc>
              <w:tc>
                <w:tcPr/>
                <w:p>
                  <w:r>
                    <w:t xml:space="preserve">3200 mm</w:t>
                  </w:r>
                </w:p>
              </w:tc>
            </w:tr>
            <w:tr>
              <w:tc>
                <w:tcPr/>
                <w:p>
                  <w:r>
                    <w:t xml:space="preserve">Gewicht</w:t>
                  </w:r>
                </w:p>
              </w:tc>
              <w:tc>
                <w:tcPr/>
                <w:p>
                  <w:r>
                    <w:t xml:space="preserve">31,5 kg</w:t>
                  </w:r>
                </w:p>
              </w:tc>
            </w:tr>
          </w:tbl>
          <w:p>
            <w:r>
              <w:t/>
            </w:r>
          </w:p>
          <w:tbl>
            <w:tblPr>
              <w:tblW w:w="auto" w:type="pct"/>
            </w:tblPr>
            <w:tblGrid>
              <w:gridCol/>
            </w:tblGrid>
            <w:tr>
              <w:tc>
                <w:tcPr/>
                <w:p>
                  <w:r>
                    <w:t xml:space="preserve">Basisuitrusting</w:t>
                  </w:r>
                </w:p>
              </w:tc>
            </w:tr>
            <w:tr>
              <w:tc>
                <w:tcPr/>
                <w:p>
                  <w:r>
                    <w:t xml:space="preserve">adapter voor WST 700 VV, WST 1000 FV</w:t>
                  </w:r>
                </w:p>
              </w:tc>
              <w:tc>
                <w:tcPr/>
                <w:p>
                  <w:r>
                    <w:t xml:space="preserve"> </w:t>
                  </w:r>
                </w:p>
              </w:tc>
            </w:tr>
          </w:tbl>
        </w:tc>
      </w:tr>
      <w:tr>
        <w:tc>
          <w:tcPr>
            <w:gridSpan w:val="2"/>
          </w:tcPr>
          <w:p>
            <w:pPr>
              <w:pStyle w:val="heading 2"/>
            </w:pPr>
            <w:r>
              <w:t xml:space="preserve">Mobiele werkplaats voor wand- en plafondschuursystemen</w:t>
            </w:r>
          </w:p>
          <w:p>
            <w:pPr>
              <w:pStyle w:val="ListParagraph"/>
              <w:spacing w:after="0"/>
              <w:ind w:left="0" w:hanging="357"/>
              <w:numPr>
                <w:ilvl w:val="0"/>
                <w:numId w:val="2"/>
              </w:numPr>
            </w:pPr>
            <w:r>
              <w:t xml:space="preserve">Mobiele werkplaats voor Giraffe-types WSE 500, WST 700 VV en WST 1000 FV, waardoor langdurig werken zonder invloed van het machinegewicht mogelijk is</w:t>
            </w:r>
          </w:p>
          <w:p>
            <w:pPr>
              <w:pStyle w:val="ListParagraph"/>
              <w:spacing w:after="0"/>
              <w:ind w:left="0" w:hanging="357"/>
              <w:numPr>
                <w:ilvl w:val="0"/>
                <w:numId w:val="2"/>
              </w:numPr>
            </w:pPr>
            <w:r>
              <w:t xml:space="preserve">Aanzienlijk minder inspanning vereist van de gebruiker, minder vermoeidheid en spanning</w:t>
            </w:r>
          </w:p>
          <w:p>
            <w:pPr>
              <w:pStyle w:val="ListParagraph"/>
              <w:spacing w:after="0"/>
              <w:ind w:left="0" w:hanging="357"/>
              <w:numPr>
                <w:ilvl w:val="0"/>
                <w:numId w:val="2"/>
              </w:numPr>
            </w:pPr>
            <w:r>
              <w:t xml:space="preserve">De mobiele werkplaats beschikt over een stabiel frame dat voor denodige stevigheid zorgt op de bouwplaats. Het geremde zwenkwielmet optimale loopeigenschappen, waarborgt precieze en lichtemanoeuvres. Met bodemplaat met geoptimaliseerd gewicht voor deFLEX veiligheidsstofzuiger</w:t>
            </w:r>
          </w:p>
          <w:p>
            <w:pPr>
              <w:pStyle w:val="ListParagraph"/>
              <w:spacing w:after="0"/>
              <w:ind w:left="0" w:hanging="357"/>
              <w:numPr>
                <w:ilvl w:val="0"/>
                <w:numId w:val="2"/>
              </w:numPr>
            </w:pPr>
            <w:r>
              <w:t xml:space="preserve">Grote gummi wielen zorgen voor een optimale stabiliteit en beweeglijkheid op bouwplaatsen. Extra afdekkingen op de wielnaven bieden bescherming tegen beschadiging van en door wanden</w:t>
            </w:r>
          </w:p>
          <w:p>
            <w:pPr>
              <w:pStyle w:val="ListParagraph"/>
              <w:spacing w:after="0"/>
              <w:ind w:left="0" w:hanging="357"/>
              <w:numPr>
                <w:ilvl w:val="0"/>
                <w:numId w:val="2"/>
              </w:numPr>
            </w:pPr>
            <w:r>
              <w:t xml:space="preserve">Opbouw en demontage zonder gereedschap door snelspanelementen. Frame beschikt over een robuust opklapmechanisme voor een eenvoudig transport</w:t>
            </w:r>
          </w:p>
          <w:p>
            <w:pPr>
              <w:pStyle w:val="ListParagraph"/>
              <w:spacing w:after="0"/>
              <w:ind w:left="0" w:hanging="357"/>
              <w:numPr>
                <w:ilvl w:val="0"/>
                <w:numId w:val="2"/>
              </w:numPr>
            </w:pPr>
            <w:r>
              <w:t xml:space="preserve">Uitgerust met een met rubber beklede handgreep, slanghouder en mogelijkheid voor het opwikkelen van de 7,5 m lange rubberen kabel</w:t>
            </w:r>
          </w:p>
          <w:p>
            <w:pPr>
              <w:pStyle w:val="ListParagraph"/>
              <w:spacing w:after="0"/>
              <w:ind w:left="0" w:hanging="357"/>
              <w:numPr>
                <w:ilvl w:val="0"/>
                <w:numId w:val="2"/>
              </w:numPr>
            </w:pPr>
            <w:r>
              <w:t xml:space="preserve">Aansluiting voor elektrisch gereedschap via 2 stopcontacten 230 V/CEE</w:t>
            </w:r>
          </w:p>
          <w:p>
            <w:pPr>
              <w:pStyle w:val="ListParagraph"/>
              <w:spacing w:after="0"/>
              <w:ind w:left="0" w:hanging="357"/>
              <w:numPr>
                <w:ilvl w:val="0"/>
                <w:numId w:val="2"/>
              </w:numPr>
            </w:pPr>
            <w:r>
              <w:t xml:space="preserve">Aan beide zijden zwenkbare werktuigbevestiging onder 90°, incl. draaibaar gewricht voor optimale beweeglijkheid, voor aanpassing aan plafonds en wanden en voor het perfect schuren van schuine vlakken</w:t>
            </w:r>
          </w:p>
          <w:p>
            <w:pPr>
              <w:pStyle w:val="ListParagraph"/>
              <w:spacing w:after="0"/>
              <w:ind w:left="0" w:hanging="357"/>
              <w:numPr>
                <w:ilvl w:val="0"/>
                <w:numId w:val="2"/>
              </w:numPr>
            </w:pPr>
            <w:r>
              <w:t xml:space="preserve">Snelle vervanging van de Giraffe zonder gereedschap. Aanpassing van de werkhoogte zonder gereedschap door een dubbele klemming van de hefstang</w:t>
            </w:r>
          </w:p>
          <w:p>
            <w:pPr>
              <w:pStyle w:val="ListParagraph"/>
              <w:spacing w:after="0"/>
              <w:ind w:left="0" w:hanging="357"/>
              <w:numPr>
                <w:ilvl w:val="0"/>
                <w:numId w:val="2"/>
              </w:numPr>
            </w:pPr>
            <w:r>
              <w:t xml:space="preserve">Optimale druk op het te schuren oppervlak door een gasveer</w:t>
            </w:r>
          </w:p>
          <w:p>
            <w:pPr>
              <w:pStyle w:val="ListParagraph"/>
              <w:spacing w:after="0"/>
              <w:ind w:left="0" w:hanging="357"/>
              <w:numPr>
                <w:ilvl w:val="0"/>
                <w:numId w:val="2"/>
              </w:numPr>
            </w:pPr>
            <w:r>
              <w:t xml:space="preserve">De kunststof glijbus maakt een wrijvingsvrije loop mogelijk alsook het met gevoel bewegen van de Giraffe over het oppervlak</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bd334df340cd48b9" /><Relationship Type="http://schemas.openxmlformats.org/officeDocument/2006/relationships/numbering" Target="/word/numbering.xml" Id="Rfbd666bddd8f4f78"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