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CHE 2-28 SDS-plus</w:t>
      </w:r>
    </w:p>
    <w:p>
      <w:r>
        <w:drawing>
          <wp:inline distT="0" distB="0" distL="0" distR="0">
            <wp:extent cx="2847975" cy="2952750"/>
            <wp:effectExtent l="19050" t="0" r="0" b="0"/>
            <wp:docPr id="5" name="/ImageGen.ashx?image=/media/263474/che2-28_sds_plu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474/che2-28_sds_plu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a9a8c1b325749c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0-1300 /min</w:t>
            </w:r>
          </w:p>
        </w:tc>
      </w:tr>
      <w:tr>
        <w:tc>
          <w:tcPr/>
          <w:p>
            <w:r>
              <w:t xml:space="preserve">Onbelast slagtal</w:t>
            </w:r>
          </w:p>
        </w:tc>
        <w:tc>
          <w:tcPr/>
          <w:p>
            <w:r>
              <w:rPr>
                <w:b/>
              </w:rPr>
              <w:t xml:space="preserve">0-4000 /min</w:t>
            </w:r>
          </w:p>
        </w:tc>
      </w:tr>
      <w:tr>
        <w:tc>
          <w:tcPr/>
          <w:p>
            <w:r>
              <w:t xml:space="preserve">Max. slagenergie (EPTA)</w:t>
            </w:r>
          </w:p>
        </w:tc>
        <w:tc>
          <w:tcPr/>
          <w:p>
            <w:r>
              <w:rPr>
                <w:b/>
              </w:rPr>
              <w:t xml:space="preserve">2,7 J</w:t>
            </w:r>
          </w:p>
        </w:tc>
      </w:tr>
      <w:tr>
        <w:tc>
          <w:tcPr/>
          <w:p>
            <w:r>
              <w:t xml:space="preserve">Max. boor-Ø in beton</w:t>
            </w:r>
          </w:p>
        </w:tc>
        <w:tc>
          <w:tcPr/>
          <w:p>
            <w:r>
              <w:rPr>
                <w:b/>
              </w:rPr>
              <w:t xml:space="preserve">26 mm</w:t>
            </w:r>
          </w:p>
        </w:tc>
      </w:tr>
      <w:tr>
        <w:tc>
          <w:tcPr/>
          <w:p>
            <w:r>
              <w:t xml:space="preserve">Max. boor-Ø in staal</w:t>
            </w:r>
          </w:p>
        </w:tc>
        <w:tc>
          <w:tcPr/>
          <w:p>
            <w:r>
              <w:rPr>
                <w:b/>
              </w:rPr>
              <w:t xml:space="preserve">13 mm</w:t>
            </w:r>
          </w:p>
        </w:tc>
      </w:tr>
      <w:tr>
        <w:tc>
          <w:tcPr/>
          <w:p>
            <w:r>
              <w:t xml:space="preserve">Max. boor-Ø in hout</w:t>
            </w:r>
          </w:p>
        </w:tc>
        <w:tc>
          <w:tcPr/>
          <w:p>
            <w:r>
              <w:rPr>
                <w:b/>
              </w:rPr>
              <w:t xml:space="preserve">30 mm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800 Watt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rPr>
                <w:b/>
              </w:rPr>
              <w:t xml:space="preserve">SDS-plus </w:t>
            </w:r>
          </w:p>
        </w:tc>
      </w:tr>
      <w:tr>
        <w:tc>
          <w:tcPr/>
          <w:p>
            <w:r>
              <w:t xml:space="preserve">Kabellengte</w:t>
            </w:r>
          </w:p>
        </w:tc>
        <w:tc>
          <w:tcPr/>
          <w:p>
            <w:r>
              <w:rPr>
                <w:b/>
              </w:rPr>
              <w:t xml:space="preserve">4,0 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2,65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handgreep</w:t>
            </w:r>
          </w:p>
        </w:tc>
        <w:tc>
          <w:tcPr/>
          <w:p>
            <w:r>
              <w:rPr>
                <w:b/>
              </w:rPr>
              <w:t xml:space="preserve">417.742 </w:t>
            </w:r>
          </w:p>
        </w:tc>
      </w:tr>
      <w:tr>
        <w:tc>
          <w:tcPr/>
          <w:p>
            <w:r>
              <w:t xml:space="preserve">1 diepte-aanslag</w:t>
            </w:r>
          </w:p>
        </w:tc>
        <w:tc>
          <w:tcPr/>
          <w:p>
            <w:r>
              <w:rPr>
                <w:b/>
              </w:rPr>
              <w:t xml:space="preserve">417.769 </w:t>
            </w:r>
          </w:p>
        </w:tc>
      </w:tr>
      <w:tr>
        <w:tc>
          <w:tcPr/>
          <w:p>
            <w:r>
              <w:t xml:space="preserve">1 transportkoffer L-BOXX® 136    </w:t>
            </w:r>
          </w:p>
        </w:tc>
        <w:tc>
          <w:tcPr/>
          <w:p>
            <w:r>
              <w:rPr>
                <w:b/>
              </w:rPr>
              <w:t xml:space="preserve">414.085 </w:t>
            </w:r>
          </w:p>
        </w:tc>
      </w:tr>
      <w:tr>
        <w:tc>
          <w:tcPr/>
          <w:p>
            <w:r>
              <w:t xml:space="preserve">1 kofferinleg</w:t>
            </w:r>
          </w:p>
        </w:tc>
        <w:tc>
          <w:tcPr/>
          <w:p>
            <w:r>
              <w:rPr>
                <w:b/>
              </w:rPr>
              <w:t xml:space="preserve">414.042 </w:t>
            </w:r>
          </w:p>
        </w:tc>
      </w:tr>
    </w:tbl>
    <w:p>
      <w:pPr>
        <w:pStyle w:val="heading 2"/>
      </w:pPr>
      <w:r>
        <w:rPr>
          <w:b/>
        </w:rPr>
        <w:t xml:space="preserve">Universele boorhamer 2,5 kg, SDS-plus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Compacte 800 Watt boor-en beitelhamer in pistoolgreep, met de functie rechts-linksloop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Rechts-/linksloop met omschakeling via koolborstel, waardoor men bijna eenzelfde draaimoment in beide richtingen heeft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Boren met of zonder hamerfunctie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Boordiepte-aanslag: voor precies 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Draaistop om te beitelen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Max. boorbereik tot 26 mm in 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geef-gas-schakelaar en functie om ononderbroken te kunnen 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geschikt voor boren/beitelen, diam. 4-18 mm in metselwerk en beton om pluggen te bevestigen en voor doorlopende gaten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lichte breekwerkzaamheden om pleister en tegels te verwijderen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a9a8c1b325749cf" /><Relationship Type="http://schemas.openxmlformats.org/officeDocument/2006/relationships/numbering" Target="/word/numbering.xml" Id="R3b2022aab9fd469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