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1 - voor P400 en V1000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7/pipecut_bag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7/pipecut_bag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8d1068d50947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P400 en V1000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=40cm (15.7”), d= 25cm (9.8”), h= 26cm (10.2”)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8d1068d50947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