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41351012f892426d"/>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1351012f892426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