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DB 160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244617/db-16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44617/db-16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a89cb65c941477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Professionele compacte diamantboorset voor zowel boren van gaten in beton tot 162 mm. Met oliebad gesmeerd tandwielhuis, RVS combi-as en geïntegreerde watertoevoer, electronisch regelbare schakelaar, thermische- en overspanningsbeveiliging, mechanische slipkoppeling, zelf uitschakelende koolborstels, PRCD schakelaar en extra verstelbare handgreep. Inclusief boorstandaard, exclusief boorkroon.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10.094.59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4026851010506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2500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450 tr/min.</w:t>
            </w:r>
          </w:p>
        </w:tc>
      </w:tr>
      <w:tr>
        <w:tc>
          <w:tcPr/>
          <w:p>
            <w:r>
              <w:t xml:space="preserve">Toerental (onbelast)</w:t>
            </w:r>
          </w:p>
        </w:tc>
        <w:tc>
          <w:tcPr/>
          <w:p>
            <w:r>
              <w:t xml:space="preserve">700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Combi-hoofdas 1¼" buitendraad - ½" binnendraad</w:t>
            </w:r>
          </w:p>
        </w:tc>
      </w:tr>
      <w:tr>
        <w:tc>
          <w:tcPr/>
          <w:p>
            <w:r>
              <w:t xml:space="preserve">Max. boordiameter (nat)</w:t>
            </w:r>
          </w:p>
        </w:tc>
        <w:tc>
          <w:tcPr/>
          <w:p>
            <w:r>
              <w:t xml:space="preserve">162 mm</w:t>
            </w:r>
          </w:p>
        </w:tc>
      </w:tr>
      <w:tr>
        <w:tc>
          <w:tcPr/>
          <w:p>
            <w:r>
              <w:t xml:space="preserve">Max. boordiameter (droog)</w:t>
            </w:r>
          </w:p>
        </w:tc>
        <w:tc>
          <w:tcPr/>
          <w:p>
            <w:r>
              <w:t xml:space="preserve">n.v.t.</w:t>
            </w:r>
          </w:p>
        </w:tc>
      </w:tr>
      <w:tr>
        <w:tc>
          <w:tcPr/>
          <w:p>
            <w:r>
              <w:t xml:space="preserve">Lengte zuil</w:t>
            </w:r>
          </w:p>
        </w:tc>
        <w:tc>
          <w:tcPr/>
          <w:p>
            <w:r>
              <w:t xml:space="preserve">790 mm</w:t>
            </w:r>
          </w:p>
        </w:tc>
      </w:tr>
      <w:tr>
        <w:tc>
          <w:tcPr/>
          <w:p>
            <w:r>
              <w:t xml:space="preserve">Nuttige slag</w:t>
            </w:r>
          </w:p>
        </w:tc>
        <w:tc>
          <w:tcPr/>
          <w:p>
            <w:r>
              <w:t xml:space="preserve">550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15,5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a89cb65c941477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