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Statief SDX-OD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72/sdx-od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72/sdx-od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f9344f423924e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Basismodel bouwstatief voor de meest voorkomende toepassingen op de bouwplaats.</w:t>
      </w:r>
      <w:r>
        <w:br/>
      </w:r>
      <w:r>
        <w:t xml:space="preserve">In hoogte verstelbaar d.m.v. uitschuifbare poten.</w:t>
      </w:r>
      <w:r>
        <w:br/>
      </w:r>
      <w:r>
        <w:br/>
      </w:r>
      <w:r>
        <w:t xml:space="preserve">Geschikt voor Tanc.Co. rotatielaser Big Rotator.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</w:tblGrid>
      <w:tr>
        <w:tc>
          <w:tcPr>
            <w:tcW w:w="30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3047009</w:t>
            </w:r>
          </w:p>
        </w:tc>
      </w:tr>
      <w:tr>
        <w:tc>
          <w:tcPr>
            <w:tcW w:w="300" w:type="dxa"/>
          </w:tcPr>
          <w:p>
            <w:r>
              <w:t xml:space="preserve">materiaal</w:t>
            </w:r>
          </w:p>
        </w:tc>
        <w:tc>
          <w:tcPr/>
          <w:p>
            <w:r>
              <w:t xml:space="preserve">buisprofiel, geëloxeerd aluminium</w:t>
            </w:r>
          </w:p>
        </w:tc>
      </w:tr>
      <w:tr>
        <w:tc>
          <w:tcPr>
            <w:tcW w:w="300" w:type="dxa"/>
          </w:tcPr>
          <w:p>
            <w:r>
              <w:t xml:space="preserve">uitvoering</w:t>
            </w:r>
          </w:p>
        </w:tc>
        <w:tc>
          <w:tcPr/>
          <w:p>
            <w:r>
              <w:t xml:space="preserve">uitschuifbare poten</w:t>
            </w:r>
          </w:p>
        </w:tc>
      </w:tr>
      <w:tr>
        <w:tc>
          <w:tcPr>
            <w:tcW w:w="300" w:type="dxa"/>
          </w:tcPr>
          <w:p>
            <w:r>
              <w:t xml:space="preserve">bereik min / max</w:t>
            </w:r>
          </w:p>
        </w:tc>
        <w:tc>
          <w:tcPr/>
          <w:p>
            <w:r>
              <w:t xml:space="preserve">100 / 168 cm</w:t>
            </w:r>
          </w:p>
        </w:tc>
      </w:tr>
      <w:tr>
        <w:tc>
          <w:tcPr>
            <w:tcW w:w="300" w:type="dxa"/>
          </w:tcPr>
          <w:p>
            <w:r>
              <w:t xml:space="preserve">transportlengte</w:t>
            </w:r>
          </w:p>
        </w:tc>
        <w:tc>
          <w:tcPr/>
          <w:p>
            <w:r>
              <w:t xml:space="preserve">105 cm</w:t>
            </w:r>
          </w:p>
        </w:tc>
      </w:tr>
      <w:tr>
        <w:tc>
          <w:tcPr>
            <w:tcW w:w="300" w:type="dxa"/>
          </w:tcPr>
          <w:p>
            <w:r>
              <w:t xml:space="preserve">gewicht</w:t>
            </w:r>
          </w:p>
        </w:tc>
        <w:tc>
          <w:tcPr/>
          <w:p>
            <w:r>
              <w:t xml:space="preserve">4,3 kg</w:t>
            </w:r>
          </w:p>
        </w:tc>
      </w:tr>
      <w:tr>
        <w:tc>
          <w:tcPr>
            <w:tcW w:w="300" w:type="dxa"/>
          </w:tcPr>
          <w:p>
            <w:r>
              <w:t xml:space="preserve">aansluiting</w:t>
            </w:r>
          </w:p>
        </w:tc>
        <w:tc>
          <w:tcPr/>
          <w:p>
            <w:r>
              <w:t xml:space="preserve">5/8 inch schroefdraad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f9344f423924e7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