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LR 1</w:t>
      </w:r>
    </w:p>
    <w:p>
      <w:r>
        <w:drawing>
          <wp:inline distT="0" distB="0" distL="0" distR="0">
            <wp:extent cx="6838950" cy="2952750"/>
            <wp:effectExtent l="19050" t="0" r="0" b="0"/>
            <wp:docPr id="5" name="/ImageGen.ashx?image=/media/43251/lr1_sc_lr1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3251/lr1_sc_lr1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21607fccdc5f446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Technische attributen</w:t>
                  </w:r>
                </w:p>
              </w:tc>
            </w:tr>
            <w:tr>
              <w:tc>
                <w:tcPr/>
                <w:p>
                  <w:r>
                    <w:t xml:space="preserve">Aantal lijnen</w:t>
                  </w:r>
                </w:p>
              </w:tc>
              <w:tc>
                <w:tcPr/>
                <w:p>
                  <w:r>
                    <w:t xml:space="preserve">2 in 90 ° hoek</w:t>
                  </w:r>
                </w:p>
              </w:tc>
            </w:tr>
            <w:tr>
              <w:tc>
                <w:tcPr/>
                <w:p>
                  <w:r>
                    <w:t xml:space="preserve">Arbeidsbereik</w:t>
                  </w:r>
                </w:p>
              </w:tc>
              <w:tc>
                <w:tcPr/>
                <w:p>
                  <w:r>
                    <w:t xml:space="preserve">30 - 75 m</w:t>
                  </w:r>
                </w:p>
              </w:tc>
            </w:tr>
            <w:tr>
              <w:tc>
                <w:tcPr/>
                <w:p>
                  <w:r>
                    <w:t xml:space="preserve">Nauwkeurigheid</w:t>
                  </w:r>
                </w:p>
              </w:tc>
              <w:tc>
                <w:tcPr/>
                <w:p>
                  <w:r>
                    <w:t xml:space="preserve">I=0,75 mm / II=1,75 mm</w:t>
                  </w:r>
                </w:p>
              </w:tc>
            </w:tr>
            <w:tr>
              <w:tc>
                <w:tcPr/>
                <w:p>
                  <w:r>
                    <w:t xml:space="preserve">Gebruiksduur</w:t>
                  </w:r>
                </w:p>
              </w:tc>
              <w:tc>
                <w:tcPr/>
                <w:p>
                  <w:r>
                    <w:t xml:space="preserve">30 h</w:t>
                  </w:r>
                </w:p>
              </w:tc>
            </w:tr>
            <w:tr>
              <w:tc>
                <w:tcPr/>
                <w:p>
                  <w:r>
                    <w:t xml:space="preserve">Temperatuurbereik</w:t>
                  </w:r>
                </w:p>
              </w:tc>
              <w:tc>
                <w:tcPr/>
                <w:p>
                  <w:r>
                    <w:t xml:space="preserve">-20° - +60 °C</w:t>
                  </w:r>
                </w:p>
              </w:tc>
            </w:tr>
            <w:tr>
              <w:tc>
                <w:tcPr/>
                <w:p>
                  <w:r>
                    <w:t xml:space="preserve">Gewicht</w:t>
                  </w:r>
                </w:p>
              </w:tc>
              <w:tc>
                <w:tcPr/>
                <w:p>
                  <w:r>
                    <w:t xml:space="preserve">0,14 kg</w:t>
                  </w:r>
                </w:p>
              </w:tc>
            </w:tr>
          </w:tbl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Basisuitrusting</w:t>
                  </w:r>
                </w:p>
              </w:tc>
            </w:tr>
            <w:tr>
              <w:tc>
                <w:tcPr/>
                <w:p>
                  <w:r>
                    <w:t xml:space="preserve">9V batterij-blok</w:t>
                  </w:r>
                </w:p>
              </w:tc>
              <w:tc>
                <w:tcPr/>
                <w:p>
                  <w:r>
                    <w:t xml:space="preserve"> </w:t>
                  </w:r>
                </w:p>
              </w:tc>
            </w:tr>
            <w:tr>
              <w:tc>
                <w:tcPr/>
                <w:p>
                  <w:r>
                    <w:t xml:space="preserve">1 houder SC LR 1</w:t>
                  </w:r>
                </w:p>
              </w:tc>
              <w:tc>
                <w:tcPr/>
                <w:p>
                  <w:r>
                    <w:t xml:space="preserve"> </w:t>
                  </w:r>
                </w:p>
              </w:tc>
            </w:tr>
          </w:tbl>
        </w:tc>
      </w:tr>
      <w:tr>
        <w:tc>
          <w:tcPr>
            <w:gridSpan w:val="2"/>
          </w:tcPr>
          <w:p>
            <w:pPr>
              <w:pStyle w:val="heading 2"/>
            </w:pPr>
            <w:r>
              <w:t xml:space="preserve">Laserontvanger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Ontvanger voor horizontaal en verticaal pulserende laserlijnen. Bruikbaar met ALC 1-360 en 2/1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Instelbare precisie-aanduiding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Display op voor- en achterkant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Uitschakelbaar, akoestisch signaal bij het ontvangen van de laserstraal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Horizontale aanduiding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21607fccdc5f446b" /><Relationship Type="http://schemas.openxmlformats.org/officeDocument/2006/relationships/numbering" Target="/word/numbering.xml" Id="R0ab43b472d984fa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