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Standaard opklapbaar</w:t>
      </w:r>
    </w:p>
    <w:p>
      <w:r>
        <w:drawing>
          <wp:inline distT="0" distB="0" distL="0" distR="0">
            <wp:extent cx="2181225" cy="2952750"/>
            <wp:effectExtent l="19050" t="0" r="0" b="0"/>
            <wp:docPr id="5" name="/ImageGen.ashx?image=/media/262494/12352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2494/12352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9f9aefa27ca47b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Standaard opklapbaar</w:t>
      </w:r>
    </w:p>
    <w:p>
      <w:r>
        <w:t xml:space="preserve">voor EST350 en EFB 152 PX</w:t>
      </w:r>
      <w:r>
        <w:br/>
      </w:r>
      <w:r>
        <w:t xml:space="preserve">H 850 mm x B 430 mm x L 630mm</w:t>
      </w:r>
    </w:p>
    <w:p>
      <w:r>
        <w:t xml:space="preserve">Opklapbare standaard met dichte bovenplaat, voor steenzaagmachine EST 350.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12.352.05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4026851012586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Hoogte</w:t>
            </w:r>
          </w:p>
        </w:tc>
        <w:tc>
          <w:tcPr/>
          <w:p>
            <w:r>
              <w:t xml:space="preserve">850 mm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steenzaagmachine EST 350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9f9aefa27ca47b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