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UniDon SDS-plus boor</w:t>
      </w:r>
    </w:p>
    <w:p>
      <w:r>
        <w:drawing>
          <wp:inline distT="0" distB="0" distL="0" distR="0">
            <wp:extent cx="2952750" cy="2952750"/>
            <wp:effectExtent l="19050" t="0" r="0" b="0"/>
            <wp:docPr id="5" name="/ImageGen.ashx?image=/media/397334/sgr-226-02.pn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397334/sgr-226-02.pn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2512efc0db4544fd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275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rPr>
          <w:b/>
        </w:rPr>
        <w:t xml:space="preserve">UNIDon SDS-plus boor</w:t>
      </w:r>
    </w:p>
    <w:p>
      <w:r>
        <w:br/>
      </w:r>
      <w:r>
        <w:br/>
      </w:r>
    </w:p>
    <w:p>
      <w:pPr>
        <w:pStyle w:val="heading 3"/>
      </w:pPr>
      <w:r>
        <w:t xml:space="preserve">Uitvoering</w:t>
      </w:r>
    </w:p>
    <w:p>
      <w:r>
        <w:t xml:space="preserve">SDS+ UNIDon Multifunctionele boor met speciaal diamantgeslepen hardmetalen boorpunt. Alleen voor draaiende toepassing, </w:t>
      </w:r>
      <w:r>
        <w:t xml:space="preserve">niet kloppend</w:t>
      </w:r>
      <w:r>
        <w:t xml:space="preserve">. Centreergeometrie voor exact aanboor op harde oppervlaktes.</w:t>
      </w:r>
    </w:p>
    <w:p>
      <w:pPr>
        <w:pStyle w:val="heading 3"/>
      </w:pPr>
      <w:r>
        <w:t xml:space="preserve">Toepassing</w:t>
      </w:r>
    </w:p>
    <w:p>
      <w:r>
        <w:t xml:space="preserve">Boort in metselwerk, tegels (tot kernhardheid 8), hout, spaanplaat, metaal en kunststoffen. Ideaal voor splintervrij en exact boren in tegels.</w:t>
      </w:r>
    </w:p>
    <w:p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</w:p>
    <w:tbl>
      <w:tblPr>
        <w:tblW w:w="auto" w:type="pct"/>
        <w:tblStyle w:val=""/>
      </w:tblPr>
      <w:tblGrid>
        <w:gridCol/>
        <w:gridCol/>
        <w:gridCol/>
        <w:gridCol/>
        <w:gridCol/>
      </w:tblGrid>
      <w:tr>
        <w:trPr>
          <w:rStyle w:val="Koptekst"/>
        </w:trPr>
        <w:tc>
          <w:tcPr>
            <w:rStyle w:val="Koptekst"/>
          </w:tcPr>
          <w:p>
            <w:r>
              <w:rPr>
                <w:rStyle w:val="Koptekst"/>
              </w:rPr>
              <w:t xml:space="preserve">Art.nr.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 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Diameter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Totaallengte</w:t>
            </w:r>
          </w:p>
        </w:tc>
        <w:tc>
          <w:tcPr>
            <w:rStyle w:val="Koptekst"/>
          </w:tcPr>
          <w:p>
            <w:r>
              <w:rPr>
                <w:rStyle w:val="Koptekst"/>
              </w:rPr>
              <w:t xml:space="preserve">Spiraallengte</w:t>
            </w:r>
          </w:p>
        </w:tc>
      </w:tr>
      <w:tr>
        <w:tc>
          <w:tcPr/>
          <w:p>
            <w:r>
              <w:t xml:space="preserve">226.5040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4,0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226.5050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5,0</w:t>
            </w:r>
          </w:p>
        </w:tc>
        <w:tc>
          <w:tcPr/>
          <w:p>
            <w:r>
              <w:t xml:space="preserve">110</w:t>
            </w:r>
          </w:p>
        </w:tc>
        <w:tc>
          <w:tcPr/>
          <w:p>
            <w:r>
              <w:t xml:space="preserve">50</w:t>
            </w:r>
          </w:p>
        </w:tc>
      </w:tr>
      <w:tr>
        <w:tc>
          <w:tcPr/>
          <w:p>
            <w:r>
              <w:t xml:space="preserve">226.5060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226.5061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6,0</w:t>
            </w:r>
          </w:p>
        </w:tc>
        <w:tc>
          <w:tcPr/>
          <w:p>
            <w:r>
              <w:t xml:space="preserve">290</w:t>
            </w:r>
          </w:p>
        </w:tc>
        <w:tc>
          <w:tcPr/>
          <w:p>
            <w:r>
              <w:t xml:space="preserve">230</w:t>
            </w:r>
          </w:p>
        </w:tc>
      </w:tr>
      <w:tr>
        <w:tc>
          <w:tcPr/>
          <w:p>
            <w:r>
              <w:t xml:space="preserve">226.5080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226.5081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226.5082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8,0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226.5100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226.5101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10,0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226.5120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226.5121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12,0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226.5140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160</w:t>
            </w:r>
          </w:p>
        </w:tc>
        <w:tc>
          <w:tcPr/>
          <w:p>
            <w:r>
              <w:t xml:space="preserve">100</w:t>
            </w:r>
          </w:p>
        </w:tc>
      </w:tr>
      <w:tr>
        <w:tc>
          <w:tcPr/>
          <w:p>
            <w:r>
              <w:t xml:space="preserve">226.5141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  <w:tr>
        <w:tc>
          <w:tcPr/>
          <w:p>
            <w:r>
              <w:t xml:space="preserve">226.5142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14,0</w:t>
            </w:r>
          </w:p>
        </w:tc>
        <w:tc>
          <w:tcPr/>
          <w:p>
            <w:r>
              <w:t xml:space="preserve">260</w:t>
            </w:r>
          </w:p>
        </w:tc>
        <w:tc>
          <w:tcPr/>
          <w:p>
            <w:r>
              <w:t xml:space="preserve">200</w:t>
            </w:r>
          </w:p>
        </w:tc>
      </w:tr>
      <w:tr>
        <w:tc>
          <w:tcPr/>
          <w:p>
            <w:r>
              <w:t xml:space="preserve">226.5160</w:t>
            </w:r>
          </w:p>
        </w:tc>
        <w:tc>
          <w:tcPr/>
          <w:p>
            <w:r>
              <w:t xml:space="preserve"> </w:t>
            </w:r>
          </w:p>
        </w:tc>
        <w:tc>
          <w:tcPr/>
          <w:p>
            <w:r>
              <w:t xml:space="preserve">16,0</w:t>
            </w:r>
          </w:p>
        </w:tc>
        <w:tc>
          <w:tcPr/>
          <w:p>
            <w:r>
              <w:t xml:space="preserve">210</w:t>
            </w:r>
          </w:p>
        </w:tc>
        <w:tc>
          <w:tcPr/>
          <w:p>
            <w:r>
              <w:t xml:space="preserve">150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.png" Id="R2512efc0db4544fd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