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112C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3/hgr-112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3/hgr-112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084b6bd5cf41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TLS1000, TiAlN-gecoat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(8%) spiraalboren DIN 338, geslepen, type TLS1000. TLS1000-spiraal zorgt voor een zeer goede spaanafvoer bij grotere boordieptes (10xD in één keer). Tophoek 130°. Speciale aanslijping volgens DIN 1412 Form S. TiAIN-coating zorgt voor hoge thermische stabiliteit (850°).</w:t>
      </w:r>
    </w:p>
    <w:p>
      <w:pPr>
        <w:pStyle w:val="heading 3"/>
      </w:pPr>
      <w:r>
        <w:t xml:space="preserve">Toepassing</w:t>
      </w:r>
    </w:p>
    <w:p>
      <w:r>
        <w:t xml:space="preserve">Bijzonder geschikt voor serieproduktie in staalsoorten &gt;1300 N/mm², roestvaststaal, gereedschap-, zuur- en hittebestendige staalsoorten. Boordieptes &lt;10xD met minimaal koeling dankzij TiAIN-coating.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112.0100C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112.0120C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112.0190C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112.0200C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112.0390C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112.0490C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112.0690C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112.1100C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112.1150C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112.1200C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112.1250C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112.1300C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112.1400C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14,0*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</w:tr>
      <w:tr>
        <w:tc>
          <w:tcPr/>
          <w:p>
            <w:r>
              <w:t xml:space="preserve">112.2000C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20,0*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e084b6bd5cf41e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