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Bitro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09/sgr-200-bitro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09/sgr-200-bitro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3f3b57931244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Bitro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Met de BITRO zijn slag- en hamerboormachines, zonder tijdrovende gereedschap- en machinewissel, als schroevendraaier inzetbaar.</w:t>
      </w:r>
    </w:p>
    <w:p>
      <w:pPr>
        <w:pStyle w:val="heading 3"/>
      </w:pPr>
      <w:r>
        <w:t xml:space="preserve">Toepassing</w:t>
      </w:r>
    </w:p>
    <w:p>
      <w:r>
        <w:t xml:space="preserve">BITRO past op alle gangbare steen- en hamerboren.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Boor ø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Kleur</w:t>
            </w:r>
          </w:p>
        </w:tc>
      </w:tr>
      <w:tr>
        <w:tc>
          <w:tcPr/>
          <w:p>
            <w:r>
              <w:t xml:space="preserve">200.9105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oranje</w:t>
            </w:r>
          </w:p>
        </w:tc>
      </w:tr>
      <w:tr>
        <w:tc>
          <w:tcPr/>
          <w:p>
            <w:r>
              <w:t xml:space="preserve">200.9106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groen</w:t>
            </w:r>
          </w:p>
        </w:tc>
      </w:tr>
      <w:tr>
        <w:tc>
          <w:tcPr/>
          <w:p>
            <w:r>
              <w:t xml:space="preserve">200.9107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geel</w:t>
            </w:r>
          </w:p>
        </w:tc>
      </w:tr>
      <w:tr>
        <w:tc>
          <w:tcPr/>
          <w:p>
            <w:r>
              <w:t xml:space="preserve">200.9108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rood</w:t>
            </w:r>
          </w:p>
        </w:tc>
      </w:tr>
      <w:tr>
        <w:tc>
          <w:tcPr/>
          <w:p>
            <w:r>
              <w:t xml:space="preserve">200.9110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blauw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f3f3b57931244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