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9/sgr-528-31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9/sgr-528-31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8c3863d71c45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Adapters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adapters voor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VE</w:t>
            </w:r>
          </w:p>
        </w:tc>
      </w:tr>
      <w:tr>
        <w:tc>
          <w:tcPr/>
          <w:p>
            <w:r>
              <w:t xml:space="preserve">528.3155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528.3160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528.3162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e8c3863d71c45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