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Fijnvertand (8/12)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1/sgr-530-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1/sgr-530-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e6d48885ef49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Gatzagen, fijnvertand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FV-type met regelmatige fijnvertanding (8/12 tpi) ,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dunwandig plaatmateriaal met een maximum wanddikte van 2,0 mm. Roestvaststaal tot max. 1,0 mm dikte.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530.5140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19/21"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530.5980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530.6127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38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e6d48885ef49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