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PMH 20-40 kW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0/pm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0/pm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6ec2b5d32334d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800-900-1000-1200-1400-1600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11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20-40 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6ec2b5d32334d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