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RAP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4/rap-master-350112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4/rap-master-350112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ea125a5b52443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Pellen en glad maken in één beweging</w:t>
      </w:r>
    </w:p>
    <w:p>
      <w:r>
        <w:t xml:space="preserve">Toepassing: Epoxyhars-coatings, lijmresten.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S350112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ea125a5b524436a" /><Relationship Type="http://schemas.openxmlformats.org/officeDocument/2006/relationships/numbering" Target="/word/numbering.xml" Id="Rcce5e1766b9b403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