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6104900</w:t>
      </w:r>
    </w:p>
    <w:p>
      <w:r>
        <w:drawing>
          <wp:inline distT="0" distB="0" distL="0" distR="0">
            <wp:extent cx="1771650" cy="2952750"/>
            <wp:effectExtent l="19050" t="0" r="0" b="0"/>
            <wp:docPr id="5" name="/ImageGen.ashx?image=/media/263632/61049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2/61049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d0ca60d14134cf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Spartacus I</w:t>
      </w:r>
    </w:p>
    <w:p>
      <w:r>
        <w:t xml:space="preserve">E27 - 75W - IP65</w:t>
      </w:r>
    </w:p>
    <w:p>
      <w:r>
        <w:t xml:space="preserve">Professionele koepellamp met twee componemten behuizing en slagvaste polycarbonaatkap voor toepassing in ruimten waar de plaats van het armatuur vaak wisselt. Zowel staand als hangend te gebruiken.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61.049.00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4017506056147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Sonlux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75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E27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Gloeilamp max. 75W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345 x 185 x 185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2,3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825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d0ca60d14134cf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