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70045</w:t>
      </w:r>
    </w:p>
    <w:p>
      <w:r>
        <w:drawing>
          <wp:inline distT="0" distB="0" distL="0" distR="0">
            <wp:extent cx="1790700" cy="2952750"/>
            <wp:effectExtent l="19050" t="0" r="0" b="0"/>
            <wp:docPr id="5" name="/ImageGen.ashx?image=/media/263562/700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2/700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a9fb38b4f04f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 KEMA</w:t>
      </w:r>
    </w:p>
    <w:p>
      <w:r>
        <w:t xml:space="preserve">2-delig - hoogte tot 2,30m</w:t>
      </w:r>
      <w:r>
        <w:br/>
      </w:r>
      <w:r>
        <w:t xml:space="preserve">met geïsoleerde handgreep</w:t>
      </w:r>
    </w:p>
    <w:p>
      <w:r>
        <w:t xml:space="preserve">Driepootstatief voor verlichtingsarmaturen klasse II, voorzien van ronde voetplaten. KEMA-KEUR in combinatie met Eurolux en Vetec halogeenarmaturen klasse II.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70.045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8713265032564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230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halogeen- en bouwlampen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a9fb38b4f04f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