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Pro inlays</w:t>
      </w:r>
    </w:p>
    <w:p>
      <w:r>
        <w:drawing>
          <wp:inline distT="0" distB="0" distL="0" distR="0">
            <wp:extent cx="6581775" cy="2952750"/>
            <wp:effectExtent l="19050" t="0" r="0" b="0"/>
            <wp:docPr id="5" name="/ImageGen.ashx?image=/media/397582/400-pro-inlays-635a0x28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82/400-pro-inlays-635a0x28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35cd9dea4a41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FENTO 400 </w:t>
      </w:r>
      <w:r>
        <w:rPr>
          <w:b/>
        </w:rPr>
        <w:t xml:space="preserve">Pro</w:t>
      </w:r>
      <w:r>
        <w:br/>
      </w:r>
      <w:r>
        <w:rPr>
          <w:b/>
        </w:rPr>
        <w:t xml:space="preserve">Inlays</w:t>
      </w:r>
    </w:p>
    <w:p>
      <w:r>
        <w:t xml:space="preserve">Ademende inlay verdeelt druk over de knee en het onderbeen. Dit voorkomt knie- en rugklachten.Bij normaal gebruik gaan deze inlay 6 maanden me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35cd9dea4a41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