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HandGuardz HG2</w:t>
      </w:r>
    </w:p>
    <w:p>
      <w:r>
        <w:drawing>
          <wp:inline distT="0" distB="0" distL="0" distR="0">
            <wp:extent cx="2628900" cy="2952750"/>
            <wp:effectExtent l="19050" t="0" r="0" b="0"/>
            <wp:docPr id="5" name="/ImageGen.ashx?image=/media/110758/handguardz-hg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8/handguardz-hg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330a4741e046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Werkhandschoen Buckler Handguardz beschermende handschoen biedt het allerbeste op het gebied van handbescherming.</w:t>
      </w:r>
    </w:p>
    <w:p>
      <w:r>
        <w:t xml:space="preserve">Handguardz TM HG2 zijn speciaal ontwikkeld en door de EN gecertificeerd voor bescherming tegen trilling bij het bedienen van krachtwerktuigen.</w:t>
      </w:r>
    </w:p>
    <w:p>
      <w:r>
        <w:t xml:space="preserve">Met neopreen palm-, duim- en vingerbasisbescherming.</w:t>
      </w:r>
    </w:p>
    <w:p>
      <w:r>
        <w:t xml:space="preserve">EN420 en EN388bedekkende en beschermende handschoenen.</w:t>
      </w:r>
    </w:p>
    <w:p>
      <w:r>
        <w:t xml:space="preserve">Bestendig tegen snijden, scheuren en doorboren.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330a4741e046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