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EW</w:t>
      </w:r>
    </w:p>
    <w:p>
      <w:r>
        <w:drawing>
          <wp:inline distT="0" distB="0" distL="0" distR="0">
            <wp:extent cx="2952750" cy="2952750"/>
            <wp:effectExtent l="19050" t="0" r="0" b="0"/>
            <wp:docPr id="5" name="/ImageGen.ashx?image=/media/397570/ipulse_l-1635_ew_01959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0/ipulse_l-1635_ew_019598_tno_a_logo_nieuw_logo.jpg&amp;Height=310&amp;Text=&amp;Align=center&amp;FontSize=7" descr=""/>
                    <pic:cNvPicPr>
                      <a:picLocks noChangeAspect="1" noChangeArrowheads="1"/>
                    </pic:cNvPicPr>
                  </pic:nvPicPr>
                  <pic:blipFill>
                    <a:blip r:embed="R88e10956c2284b44"/>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EW 019598</w:t>
      </w:r>
    </w:p>
    <w:p>
      <w:r>
        <w:t xml:space="preserve">Bouwstofzuiger voor de zwaarste inzet in de industrie, werkplaats of op de bouw. Voor het afzuigen direct aan de machine bij boor-, frees, slijp- of zaagwerk. Beton, gips, steen, cement, hout, lak.</w:t>
      </w:r>
    </w:p>
    <w:tbl>
      <w:tblPr>
        <w:tblW w:w="5865" w:type="dxa"/>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8e10956c2284b44" /><Relationship Type="http://schemas.openxmlformats.org/officeDocument/2006/relationships/numbering" Target="/word/numbering.xml" Id="R31b54c5a850b4714" /><Relationship Type="http://schemas.openxmlformats.org/officeDocument/2006/relationships/hyperlink" Target="http://www.equibv.nl/stofvrij-werken/" TargetMode="External" Id="Rabb8aa931eb645f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