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1800 eco RVS</w:t>
      </w:r>
    </w:p>
    <w:p>
      <w:r>
        <w:drawing>
          <wp:inline distT="0" distB="0" distL="0" distR="0">
            <wp:extent cx="1466850" cy="2952750"/>
            <wp:effectExtent l="19050" t="0" r="0" b="0"/>
            <wp:docPr id="5" name="/ImageGen.ashx?image=/media/397384/dc-1800-eco-rvs.jpg&amp;Height=310&amp;Text=&amp;Align=center&amp;FontSize=7" descr=""/>
            <wp:cNvGraphicFramePr>
              <a:graphicFrameLocks noChangeAspect="1"/>
            </wp:cNvGraphicFramePr>
            <a:graphic>
              <a:graphicData uri="http://schemas.openxmlformats.org/drawingml/2006/picture">
                <pic:pic>
                  <pic:nvPicPr>
                    <pic:cNvPr id="2" name="/ImageGen.ashx?image=/media/397384/dc-1800-eco-rvs.jpg&amp;Height=310&amp;Text=&amp;Align=center&amp;FontSize=7" descr=""/>
                    <pic:cNvPicPr>
                      <a:picLocks noChangeAspect="1" noChangeArrowheads="1"/>
                    </pic:cNvPicPr>
                  </pic:nvPicPr>
                  <pic:blipFill>
                    <a:blip r:embed="R4aae830fdff44645"/>
                    <a:srcRect/>
                    <a:stretch>
                      <a:fillRect/>
                    </a:stretch>
                  </pic:blipFill>
                  <pic:spPr bwMode="auto">
                    <a:xfrm>
                      <a:off x="0" y="0"/>
                      <a:ext cx="1466850" cy="2952750"/>
                    </a:xfrm>
                    <a:prstGeom prst="rect">
                      <a:avLst/>
                    </a:prstGeom>
                  </pic:spPr>
                </pic:pic>
              </a:graphicData>
            </a:graphic>
          </wp:inline>
        </w:drawing>
      </w:r>
    </w:p>
    <w:p>
      <w:r>
        <w:rPr>
          <w:b/>
        </w:rPr>
        <w:t xml:space="preserve">DC 1800 </w:t>
      </w:r>
      <w:r>
        <w:rPr>
          <w:b/>
          <w:color w:val="339966"/>
        </w:rPr>
        <w:t xml:space="preserve">eco</w:t>
      </w:r>
      <w:r>
        <w:rPr>
          <w:b/>
        </w:rPr>
        <w:t xml:space="preserve"> RVS Mobiele stofafscheider met stalen container</w:t>
      </w:r>
    </w:p>
    <w:p>
      <w:r>
        <w:t xml:space="preserve">Dustcontrol DC 1800 EX wordt gewaardeerd zowel om zijn eenvoudige bediening als om zijn capaciteit wanneer hij wordt gebruikt om het risico op mogelijke explosies te verminderen in Atex zone 22 (niet-geleidend stof).</w:t>
      </w:r>
    </w:p>
    <w:p>
      <w:r>
        <w:t xml:space="preserve">Er zijn echter werkgebieden met hoge hygiënische eisen (bijvoorbeeld de voedselverwerkende industrie), die de capaciteiten van onze standaard DC 1800 EX overtreffen. Om toch aan de behoefte van deze branche te kunnen voldoen hebben we de nieuwe DC 1800 EX RVS ontwikkeld.</w:t>
      </w:r>
    </w:p>
    <w:p>
      <w:r>
        <w:t xml:space="preserve">Voordelen van de DC 1800 EX RVS:</w:t>
      </w:r>
    </w:p>
    <w:p>
      <w:r>
        <w:t xml:space="preserve">• Geschikt voor gebruik in omgevingen met mogelijk brandbaar stof (niet-geleidend)</w:t>
      </w:r>
    </w:p>
    <w:p>
      <w:r>
        <w:t xml:space="preserve">• Het roestvrijstalen ontwerp maakt gebruik van alkalische wasoplossingen</w:t>
      </w:r>
    </w:p>
    <w:p>
      <w:r>
        <w:t xml:space="preserve">• Hoge weerstand tegen zuren</w:t>
      </w:r>
    </w:p>
    <w:p>
      <w:r>
        <w:t xml:space="preserve">• Borstelloze motor</w:t>
      </w:r>
    </w:p>
    <w:p>
      <w:r>
        <w:rPr>
          <w:b/>
        </w:rPr>
        <w:t xml:space="preserve">Specificaties DC 1800 </w:t>
      </w:r>
      <w:r>
        <w:rPr>
          <w:b/>
          <w:color w:val="009030"/>
        </w:rPr>
        <w:t xml:space="preserve">eco </w:t>
      </w:r>
      <w:r>
        <w:rPr>
          <w:b/>
          <w:color w:val="000000"/>
        </w:rPr>
        <w:t xml:space="preserve">RVS</w:t>
      </w:r>
    </w:p>
    <w:tbl>
      <w:tblPr>
        <w:tblW w:w="auto" w:type="pct"/>
      </w:tblPr>
      <w:tblGrid>
        <w:gridCol/>
        <w:gridCol/>
      </w:tblGrid>
      <w:tr>
        <w:tc>
          <w:tcPr/>
          <w:p>
            <w:r>
              <w:t xml:space="preserve">HxBxL mm</w:t>
            </w:r>
          </w:p>
        </w:tc>
        <w:tc>
          <w:tcPr/>
          <w:p>
            <w:r>
              <w:t xml:space="preserve">740 x 380 x 380</w:t>
            </w:r>
          </w:p>
        </w:tc>
      </w:tr>
      <w:tr>
        <w:tc>
          <w:tcPr/>
          <w:p>
            <w:r>
              <w:t xml:space="preserve">Massa</w:t>
            </w:r>
          </w:p>
        </w:tc>
        <w:tc>
          <w:tcPr/>
          <w:p>
            <w:r>
              <w:t xml:space="preserve">18 kg</w:t>
            </w:r>
          </w:p>
        </w:tc>
      </w:tr>
      <w:tr>
        <w:tc>
          <w:tcPr/>
          <w:p>
            <w:r>
              <w:t xml:space="preserve">Inlaat/uitlaat</w:t>
            </w:r>
          </w:p>
        </w:tc>
        <w:tc>
          <w:tcPr/>
          <w:p>
            <w:r>
              <w:t xml:space="preserve">Ø 50 mm</w:t>
            </w:r>
          </w:p>
        </w:tc>
      </w:tr>
      <w:tr>
        <w:tc>
          <w:tcPr/>
          <w:p>
            <w:r>
              <w:t xml:space="preserve">Slanglengte</w:t>
            </w:r>
          </w:p>
        </w:tc>
        <w:tc>
          <w:tcPr/>
          <w:p>
            <w:r>
              <w:t xml:space="preserve">5 m ( Ø38)</w:t>
            </w:r>
          </w:p>
        </w:tc>
      </w:tr>
      <w:tr>
        <w:tc>
          <w:tcPr/>
          <w:p>
            <w:r>
              <w:t xml:space="preserve">Max onderdruk</w:t>
            </w:r>
          </w:p>
        </w:tc>
        <w:tc>
          <w:tcPr/>
          <w:p>
            <w:r>
              <w:t xml:space="preserve">25 kPa</w:t>
            </w:r>
          </w:p>
        </w:tc>
      </w:tr>
      <w:tr>
        <w:tc>
          <w:tcPr/>
          <w:p>
            <w:r>
              <w:t xml:space="preserve">Max luchtstroom</w:t>
            </w:r>
          </w:p>
        </w:tc>
        <w:tc>
          <w:tcPr/>
          <w:p>
            <w:r>
              <w:t xml:space="preserve">185 m³/ uur</w:t>
            </w:r>
          </w:p>
        </w:tc>
      </w:tr>
      <w:tr>
        <w:tc>
          <w:tcPr/>
          <w:p>
            <w:r>
              <w:t xml:space="preserve">Vermogen</w:t>
            </w:r>
          </w:p>
        </w:tc>
        <w:tc>
          <w:tcPr/>
          <w:p>
            <w:r>
              <w:t xml:space="preserve">1300 W, 230 V</w:t>
            </w:r>
          </w:p>
        </w:tc>
      </w:tr>
      <w:tr>
        <w:tc>
          <w:tcPr/>
          <w:p>
            <w:r>
              <w:t xml:space="preserve">Oppervlak fijnfilter</w:t>
            </w:r>
          </w:p>
        </w:tc>
        <w:tc>
          <w:tcPr/>
          <w:p>
            <w:r>
              <w:t xml:space="preserve">1,5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0,85 m²</w:t>
            </w:r>
          </w:p>
        </w:tc>
      </w:tr>
      <w:tr>
        <w:tc>
          <w:tcPr/>
          <w:p>
            <w:r>
              <w:t xml:space="preserve">Opvangcapaciteit</w:t>
            </w:r>
          </w:p>
        </w:tc>
        <w:tc>
          <w:tcPr/>
          <w:p>
            <w:r>
              <w:t xml:space="preserve">15 L</w:t>
            </w:r>
          </w:p>
        </w:tc>
      </w:tr>
      <w:tr>
        <w:tc>
          <w:tcPr/>
          <w:p>
            <w:r>
              <w:t xml:space="preserve">Geluidsniveau</w:t>
            </w:r>
          </w:p>
        </w:tc>
        <w:tc>
          <w:tcPr/>
          <w:p>
            <w:r>
              <w:t xml:space="preserve">70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aae830fdff4464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