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Statief DST200</w:t>
      </w:r>
    </w:p>
    <w:p>
      <w:r>
        <w:drawing>
          <wp:inline distT="0" distB="0" distL="0" distR="0">
            <wp:extent cx="1000125" cy="2952750"/>
            <wp:effectExtent l="19050" t="0" r="0" b="0"/>
            <wp:docPr id="5" name="/ImageGen.ashx?image=/media/18015/DST200KF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15/DST200KF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942b005977b4c9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Afmeting</w:t>
            </w:r>
          </w:p>
        </w:tc>
        <w:tc>
          <w:tcPr/>
          <w:p>
            <w:r>
              <w:t xml:space="preserve">1700/3000 mm (ook verkrijgbaar in verlengde versie 2200 mm)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1200 mm</w:t>
            </w:r>
          </w:p>
        </w:tc>
      </w:tr>
      <w:tr>
        <w:tc>
          <w:tcPr/>
          <w:p>
            <w:r>
              <w:t xml:space="preserve">Overbrenging</w:t>
            </w:r>
          </w:p>
        </w:tc>
        <w:tc>
          <w:tcPr/>
          <w:p>
            <w:r>
              <w:t xml:space="preserve">rondsel/tandheugel</w:t>
            </w:r>
          </w:p>
        </w:tc>
      </w:tr>
      <w:tr>
        <w:tc>
          <w:tcPr/>
          <w:p>
            <w:r>
              <w:t xml:space="preserve">Buitenkolom RVS</w:t>
            </w:r>
          </w:p>
        </w:tc>
        <w:tc>
          <w:tcPr/>
          <w:p>
            <w:r>
              <w:t xml:space="preserve">50x50</w:t>
            </w:r>
          </w:p>
        </w:tc>
      </w:tr>
      <w:tr>
        <w:tc>
          <w:tcPr/>
          <w:p>
            <w:r>
              <w:t xml:space="preserve">Binnenkolom galv.    </w:t>
            </w:r>
          </w:p>
        </w:tc>
        <w:tc>
          <w:tcPr/>
          <w:p>
            <w:r>
              <w:t xml:space="preserve">40x40</w:t>
            </w:r>
          </w:p>
        </w:tc>
      </w:tr>
      <w:tr>
        <w:tc>
          <w:tcPr/>
          <w:p>
            <w:r>
              <w:t xml:space="preserve">Snelwisselsysteem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22,0 kg</w:t>
            </w:r>
          </w:p>
        </w:tc>
      </w:tr>
    </w:tbl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Gegarandeerd waterdichte plafond- en vloerboringen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snelle instelling van statief- en waterafzuiging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Geringe boorafstand van de wand (ook met kleinere diameters)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tot max. diameter 250mm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Max. boorlengte 1200mm in één boorgang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Uitbreidbaar voor horizontaalboringen zonder verankering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Slangankers overbodig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100% waterafdichting door gebruik van oliekeerringen in afzuigunit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Oliekeerringen geven tevens stabiliteit aan boor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voet (optie) zeer geschikt voor serieboringen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Tevens geschikt voor vloerboringen zonder verankering (plafonddek noodzakelijk)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479282/dst200kf-horizontaal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282/dst200kf-horizontaal_300x300.jpg" descr="DST200KF Horizonta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63dc4f630fa4da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479283/dst200kf-horizontaal-2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283/dst200kf-horizontaal-2_300x300.jpg" descr="DST200KF Horizontaal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a4fbd33d94d4c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inline distT="0" distB="0" distL="0" distR="0">
            <wp:extent cx="4762500" cy="6353175"/>
            <wp:effectExtent l="19050" t="0" r="0" b="0"/>
            <wp:docPr id="8" name="/media/397510/2017-08-31-111908_500x667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/media/397510/2017-08-31-111908_500x667.jpg" descr="2017-08-31 11.19.08"/>
                    <pic:cNvPicPr>
                      <a:picLocks noChangeAspect="1" noChangeArrowheads="1"/>
                    </pic:cNvPicPr>
                  </pic:nvPicPr>
                  <pic:blipFill>
                    <a:blip r:embed="Ra80f6acfb7ba4ea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942b005977b4c9e" /><Relationship Type="http://schemas.openxmlformats.org/officeDocument/2006/relationships/numbering" Target="/word/numbering.xml" Id="R862d368961b04abe" /><Relationship Type="http://schemas.openxmlformats.org/officeDocument/2006/relationships/image" Target="/media/image3.jpg" Id="R063dc4f630fa4da4" /><Relationship Type="http://schemas.openxmlformats.org/officeDocument/2006/relationships/image" Target="/media/image4.jpg" Id="R3a4fbd33d94d4c28" /><Relationship Type="http://schemas.openxmlformats.org/officeDocument/2006/relationships/image" Target="/media/image5.jpg" Id="Ra80f6acfb7ba4ea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