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TK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7/tk40_klein8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7/tk40_klein8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5f5dfbda864e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</w:t>
      </w:r>
      <w:r>
        <w:t xml:space="preserve"> </w:t>
      </w:r>
      <w:r>
        <w:t xml:space="preserve">handgreep</w:t>
      </w:r>
      <w:r>
        <w:t xml:space="preserve"> </w:t>
      </w:r>
      <w:r>
        <w:t xml:space="preserve">zonder gereedschap</w:t>
      </w:r>
      <w:r>
        <w:t xml:space="preserve"> </w:t>
      </w:r>
      <w:r>
        <w:t xml:space="preserve">spannen</w:t>
      </w:r>
      <w:r>
        <w:t xml:space="preserve"> </w:t>
      </w:r>
      <w:r>
        <w:t xml:space="preserve">van de ketting.</w:t>
      </w:r>
      <w:r>
        <w:br/>
      </w:r>
      <w:r>
        <w:t xml:space="preserve">Muur</w:t>
      </w:r>
      <w:r>
        <w:t xml:space="preserve"> </w:t>
      </w:r>
      <w:r>
        <w:t xml:space="preserve">besnoeiing</w:t>
      </w:r>
      <w:r>
        <w:t xml:space="preserve"> </w:t>
      </w:r>
      <w:r>
        <w:t xml:space="preserve">mogelijk.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 </w:t>
            </w:r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TK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TK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Zwaardlengte</w:t>
            </w:r>
          </w:p>
        </w:tc>
        <w:tc>
          <w:tcPr/>
          <w:p>
            <w:r>
              <w:t xml:space="preserve">cm</w:t>
            </w:r>
          </w:p>
        </w:tc>
        <w:tc>
          <w:tcPr/>
          <w:p>
            <w:r>
              <w:t xml:space="preserve">30-40</w:t>
            </w:r>
          </w:p>
        </w:tc>
        <w:tc>
          <w:tcPr/>
          <w:p>
            <w:r>
              <w:t xml:space="preserve">30-40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430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r>
              <w:t xml:space="preserve">Aandrijfas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 tanden 3/8" en F4    </w:t>
            </w:r>
          </w:p>
        </w:tc>
        <w:tc>
          <w:tcPr/>
          <w:p>
            <w:r>
              <w:t xml:space="preserve">8 tanden 3/8" en F4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5500</w:t>
            </w:r>
          </w:p>
        </w:tc>
        <w:tc>
          <w:tcPr/>
          <w:p>
            <w:r>
              <w:t xml:space="preserve">5500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9,8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5f5dfbda864e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