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12030.00</w:t>
      </w:r>
    </w:p>
    <w:p>
      <w:r>
        <w:drawing>
          <wp:inline distT="0" distB="0" distL="0" distR="0">
            <wp:extent cx="2838450" cy="2952750"/>
            <wp:effectExtent l="19050" t="0" r="0" b="0"/>
            <wp:docPr id="5" name="/ImageGen.ashx?image=/media/143228/1203000.jpg&amp;Height=310&amp;Text=&amp;Align=center&amp;FontSize=7" descr=""/>
            <wp:cNvGraphicFramePr>
              <a:graphicFrameLocks noChangeAspect="1"/>
            </wp:cNvGraphicFramePr>
            <a:graphic>
              <a:graphicData uri="http://schemas.openxmlformats.org/drawingml/2006/picture">
                <pic:pic>
                  <pic:nvPicPr>
                    <pic:cNvPr id="2" name="/ImageGen.ashx?image=/media/143228/1203000.jpg&amp;Height=310&amp;Text=&amp;Align=center&amp;FontSize=7" descr=""/>
                    <pic:cNvPicPr>
                      <a:picLocks noChangeAspect="1" noChangeArrowheads="1"/>
                    </pic:cNvPicPr>
                  </pic:nvPicPr>
                  <pic:blipFill>
                    <a:blip r:embed="Rbe556c1337ea4e50"/>
                    <a:srcRect/>
                    <a:stretch>
                      <a:fillRect/>
                    </a:stretch>
                  </pic:blipFill>
                  <pic:spPr bwMode="auto">
                    <a:xfrm>
                      <a:off x="0" y="0"/>
                      <a:ext cx="2838450" cy="2952750"/>
                    </a:xfrm>
                    <a:prstGeom prst="rect">
                      <a:avLst/>
                    </a:prstGeom>
                  </pic:spPr>
                </pic:pic>
              </a:graphicData>
            </a:graphic>
          </wp:inline>
        </w:drawing>
      </w:r>
    </w:p>
    <w:p>
      <w:pPr>
        <w:pStyle w:val="heading 2"/>
      </w:pPr>
      <w:r>
        <w:t xml:space="preserve">Snelwisseladapter M14 x 2</w:t>
      </w:r>
    </w:p>
    <w:p>
      <w:r>
        <w:t xml:space="preserve">voor Swinko menggardes</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12.030.00</w:t>
            </w:r>
          </w:p>
        </w:tc>
      </w:tr>
      <w:tr>
        <w:tc>
          <w:tcPr/>
          <w:p>
            <w:r>
              <w:t xml:space="preserve">EAN code</w:t>
            </w:r>
          </w:p>
        </w:tc>
        <w:tc>
          <w:tcPr/>
          <w:p>
            <w:r>
              <w:t xml:space="preserve">8713265039815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buitendraad - M14x2 binnendraad</w:t>
            </w:r>
          </w:p>
        </w:tc>
      </w:tr>
      <w:tr>
        <w:tc>
          <w:tcPr/>
          <w:p>
            <w:r>
              <w:t xml:space="preserve">Geschikt voor</w:t>
            </w:r>
          </w:p>
        </w:tc>
        <w:tc>
          <w:tcPr/>
          <w:p>
            <w:r>
              <w:t xml:space="preserve">Alle mixers met aansluiting M14x2</w:t>
            </w:r>
          </w:p>
        </w:tc>
      </w:tr>
      <w:tr>
        <w:tc>
          <w:tcPr/>
          <w:p>
            <w:r>
              <w:t xml:space="preserve">Toepassing</w:t>
            </w:r>
          </w:p>
        </w:tc>
        <w:tc>
          <w:tcPr/>
          <w:p>
            <w:r>
              <w:t xml:space="preserve">Voor het snel verwisselen van menggardes</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e556c1337ea4e5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