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VCE 45 H AC</w:t>
      </w:r>
    </w:p>
    <w:p>
      <w:r>
        <w:drawing>
          <wp:inline distT="0" distB="0" distL="0" distR="0">
            <wp:extent cx="1971675" cy="2952750"/>
            <wp:effectExtent l="19050" t="0" r="0" b="0"/>
            <wp:docPr id="5" name="/ImageGen.ashx?image=/media/189624/vce45h_ac.jpg&amp;Height=310&amp;Text=&amp;Align=center&amp;FontSize=7" descr=""/>
            <wp:cNvGraphicFramePr>
              <a:graphicFrameLocks noChangeAspect="1"/>
            </wp:cNvGraphicFramePr>
            <a:graphic>
              <a:graphicData uri="http://schemas.openxmlformats.org/drawingml/2006/picture">
                <pic:pic>
                  <pic:nvPicPr>
                    <pic:cNvPr id="2" name="/ImageGen.ashx?image=/media/189624/vce45h_ac.jpg&amp;Height=310&amp;Text=&amp;Align=center&amp;FontSize=7" descr=""/>
                    <pic:cNvPicPr>
                      <a:picLocks noChangeAspect="1" noChangeArrowheads="1"/>
                    </pic:cNvPicPr>
                  </pic:nvPicPr>
                  <pic:blipFill>
                    <a:blip r:embed="Rc0f47c4955fa4bb1"/>
                    <a:srcRect/>
                    <a:stretch>
                      <a:fillRect/>
                    </a:stretch>
                  </pic:blipFill>
                  <pic:spPr bwMode="auto">
                    <a:xfrm>
                      <a:off x="0" y="0"/>
                      <a:ext cx="1971675" cy="2952750"/>
                    </a:xfrm>
                    <a:prstGeom prst="rect">
                      <a:avLst/>
                    </a:prstGeom>
                  </pic:spPr>
                </pic:pic>
              </a:graphicData>
            </a:graphic>
          </wp:inline>
        </w:drawing>
      </w:r>
    </w:p>
    <w:tbl>
      <w:tblPr>
        <w:tblW w:w="auto" w:type="pct"/>
      </w:tblPr>
      <w:tblGrid>
        <w:gridCol/>
      </w:tblGrid>
      <w:tr>
        <w:tc>
          <w:tcPr/>
          <w:p>
            <w:r>
              <w:t xml:space="preserve">Technische attributen</w:t>
            </w:r>
          </w:p>
        </w:tc>
      </w:tr>
      <w:tr>
        <w:tc>
          <w:tcPr/>
          <w:p>
            <w:r>
              <w:t xml:space="preserve">Nominaal vermogen P</w:t>
            </w:r>
          </w:p>
        </w:tc>
        <w:tc>
          <w:tcPr/>
          <w:p>
            <w:r>
              <w:rPr>
                <w:b/>
              </w:rPr>
              <w:t xml:space="preserve">1000 Watt</w:t>
            </w:r>
          </w:p>
        </w:tc>
      </w:tr>
      <w:tr>
        <w:tc>
          <w:tcPr/>
          <w:p>
            <w:r>
              <w:t xml:space="preserve">Opgenomen vermogen P. max.</w:t>
            </w:r>
          </w:p>
        </w:tc>
        <w:tc>
          <w:tcPr/>
          <w:p>
            <w:r>
              <w:rPr>
                <w:b/>
              </w:rPr>
              <w:t xml:space="preserve">1150 Watt</w:t>
            </w:r>
          </w:p>
        </w:tc>
      </w:tr>
      <w:tr>
        <w:tc>
          <w:tcPr/>
          <w:p>
            <w:r>
              <w:t xml:space="preserve">Max. volumedebiet</w:t>
            </w:r>
          </w:p>
        </w:tc>
        <w:tc>
          <w:tcPr/>
          <w:p>
            <w:r>
              <w:rPr>
                <w:b/>
              </w:rPr>
              <w:t xml:space="preserve">2300 l/min</w:t>
            </w:r>
          </w:p>
        </w:tc>
      </w:tr>
      <w:tr>
        <w:tc>
          <w:tcPr/>
          <w:p>
            <w:r>
              <w:t xml:space="preserve">Max. onderdruk</w:t>
            </w:r>
          </w:p>
        </w:tc>
        <w:tc>
          <w:tcPr/>
          <w:p>
            <w:r>
              <w:rPr>
                <w:b/>
              </w:rPr>
              <w:t xml:space="preserve">22000 Pa</w:t>
            </w:r>
          </w:p>
        </w:tc>
      </w:tr>
      <w:tr>
        <w:tc>
          <w:tcPr/>
          <w:p>
            <w:r>
              <w:t xml:space="preserve">Filteroppervlak</w:t>
            </w:r>
          </w:p>
        </w:tc>
        <w:tc>
          <w:tcPr/>
          <w:p>
            <w:r>
              <w:rPr>
                <w:b/>
              </w:rPr>
              <w:t xml:space="preserve">6000 cm²</w:t>
            </w:r>
          </w:p>
        </w:tc>
      </w:tr>
      <w:tr>
        <w:tc>
          <w:tcPr/>
          <w:p>
            <w:r>
              <w:t xml:space="preserve">Kuipinhoud</w:t>
            </w:r>
          </w:p>
        </w:tc>
        <w:tc>
          <w:tcPr/>
          <w:p>
            <w:r>
              <w:rPr>
                <w:b/>
              </w:rPr>
              <w:t xml:space="preserve">43 l</w:t>
            </w:r>
          </w:p>
        </w:tc>
      </w:tr>
      <w:tr>
        <w:tc>
          <w:tcPr/>
          <w:p>
            <w:r>
              <w:t xml:space="preserve">Vulhoeveelheid vloeistof</w:t>
            </w:r>
          </w:p>
        </w:tc>
        <w:tc>
          <w:tcPr/>
          <w:p>
            <w:r>
              <w:rPr>
                <w:b/>
              </w:rPr>
              <w:t xml:space="preserve">30 l</w:t>
            </w:r>
          </w:p>
        </w:tc>
      </w:tr>
      <w:tr>
        <w:tc>
          <w:tcPr/>
          <w:p>
            <w:r>
              <w:t xml:space="preserve">Stopcontact</w:t>
            </w:r>
          </w:p>
        </w:tc>
        <w:tc>
          <w:tcPr/>
          <w:p>
            <w:r>
              <w:rPr>
                <w:b/>
              </w:rPr>
              <w:t xml:space="preserve">100-2200 Watt</w:t>
            </w:r>
          </w:p>
        </w:tc>
      </w:tr>
      <w:tr>
        <w:tc>
          <w:tcPr/>
          <w:p>
            <w:r>
              <w:t xml:space="preserve">Afmeting (L x B x H)</w:t>
            </w:r>
          </w:p>
        </w:tc>
        <w:tc>
          <w:tcPr/>
          <w:p>
            <w:r>
              <w:rPr>
                <w:b/>
              </w:rPr>
              <w:t xml:space="preserve">520 x 380 x 695 mm</w:t>
            </w:r>
          </w:p>
        </w:tc>
      </w:tr>
      <w:tr>
        <w:tc>
          <w:tcPr/>
          <w:p>
            <w:r>
              <w:t xml:space="preserve">Gewicht</w:t>
            </w:r>
          </w:p>
        </w:tc>
        <w:tc>
          <w:tcPr/>
          <w:p>
            <w:r>
              <w:rPr>
                <w:b/>
              </w:rPr>
              <w:t xml:space="preserve">13,5 kg</w:t>
            </w:r>
          </w:p>
        </w:tc>
      </w:tr>
    </w:tbl>
    <w:p/>
    <w:tbl>
      <w:tblPr>
        <w:tblW w:w="auto" w:type="pct"/>
      </w:tblPr>
      <w:tblGrid>
        <w:gridCol/>
      </w:tblGrid>
      <w:tr>
        <w:tc>
          <w:tcPr/>
          <w:p>
            <w:pPr>
              <w:keepNext/>
              <w:jc w:val="left"/>
            </w:pPr>
            <w:r>
              <w:t xml:space="preserve">Basisuitrusting</w:t>
            </w:r>
          </w:p>
        </w:tc>
      </w:tr>
      <w:tr>
        <w:tc>
          <w:tcPr/>
          <w:p>
            <w:r>
              <w:t xml:space="preserve">Anti-statische zuigslang Ø 32 mm x 4 m met kliksysteem SH-C 32x4m AS en adapter SAD-C D25-32AS</w:t>
            </w:r>
          </w:p>
        </w:tc>
        <w:tc>
          <w:tcPr/>
          <w:p>
            <w:r>
              <w:t xml:space="preserve"> </w:t>
            </w:r>
          </w:p>
        </w:tc>
      </w:tr>
      <w:tr>
        <w:tc>
          <w:tcPr/>
          <w:p>
            <w:r>
              <w:t xml:space="preserve">1 veiligheidsfilterzak</w:t>
            </w:r>
          </w:p>
        </w:tc>
        <w:tc>
          <w:tcPr/>
          <w:p>
            <w:r>
              <w:rPr>
                <w:b/>
              </w:rPr>
              <w:t xml:space="preserve">1 stuks uit 379.115 </w:t>
            </w:r>
          </w:p>
        </w:tc>
      </w:tr>
      <w:tr>
        <w:tc>
          <w:tcPr/>
          <w:p>
            <w:r>
              <w:t xml:space="preserve">1 waaierfilter klasse H/HEPA 14</w:t>
            </w:r>
          </w:p>
        </w:tc>
        <w:tc>
          <w:tcPr/>
          <w:p>
            <w:r>
              <w:rPr>
                <w:b/>
              </w:rPr>
              <w:t xml:space="preserve">379.107 </w:t>
            </w:r>
          </w:p>
        </w:tc>
      </w:tr>
      <w:tr>
        <w:tc>
          <w:tcPr/>
          <w:p>
            <w:r>
              <w:t xml:space="preserve">1 transportzak TS VCE 45 H</w:t>
            </w:r>
          </w:p>
        </w:tc>
        <w:tc>
          <w:tcPr/>
          <w:p>
            <w:r>
              <w:rPr>
                <w:b/>
              </w:rPr>
              <w:t xml:space="preserve">379.123 </w:t>
            </w:r>
          </w:p>
        </w:tc>
      </w:tr>
    </w:tbl>
    <w:p>
      <w:pPr>
        <w:pStyle w:val="heading 2"/>
      </w:pPr>
      <w:r>
        <w:rPr>
          <w:b/>
        </w:rPr>
        <w:t xml:space="preserve">Veiligheidsstofzuiger met automatische filterreiniging, 43 l, klasse H</w:t>
      </w:r>
    </w:p>
    <w:p>
      <w:pPr>
        <w:pStyle w:val="ListParagraph"/>
        <w:spacing w:after="0"/>
        <w:ind w:left="0" w:hanging="357"/>
        <w:numPr>
          <w:ilvl w:val="0"/>
          <w:numId w:val="2"/>
        </w:numPr>
      </w:pPr>
      <w:r>
        <w:t xml:space="preserve">De krachtige turbine zorgt voor een grote zuigkracht en hoge onderdruk waardoor een uitstekende afzuiging ontstaat</w:t>
      </w:r>
    </w:p>
    <w:p>
      <w:pPr>
        <w:pStyle w:val="ListParagraph"/>
        <w:spacing w:after="0"/>
        <w:ind w:left="0" w:hanging="357"/>
        <w:numPr>
          <w:ilvl w:val="0"/>
          <w:numId w:val="2"/>
        </w:numPr>
      </w:pPr>
      <w:r>
        <w:t xml:space="preserve">Autonoom reinigingssysteem voor optimale afzuiging met constante zuigkracht</w:t>
      </w:r>
    </w:p>
    <w:p>
      <w:pPr>
        <w:pStyle w:val="ListParagraph"/>
        <w:spacing w:after="0"/>
        <w:ind w:left="0" w:hanging="357"/>
        <w:numPr>
          <w:ilvl w:val="0"/>
          <w:numId w:val="2"/>
        </w:numPr>
      </w:pPr>
      <w:r>
        <w:t xml:space="preserve">Door het gebruik van een waaierfilter kan de inhoud van de ton volledig aangewend worden voor het opzuigen van stof en vuil</w:t>
      </w:r>
    </w:p>
    <w:p>
      <w:pPr>
        <w:pStyle w:val="ListParagraph"/>
        <w:spacing w:after="0"/>
        <w:ind w:left="0" w:hanging="357"/>
        <w:numPr>
          <w:ilvl w:val="0"/>
          <w:numId w:val="2"/>
        </w:numPr>
      </w:pPr>
      <w:r>
        <w:t xml:space="preserve">Voor natzuigen: met elektronische vloeistofcontrole</w:t>
      </w:r>
    </w:p>
    <w:p>
      <w:pPr>
        <w:pStyle w:val="ListParagraph"/>
        <w:spacing w:after="0"/>
        <w:ind w:left="0" w:hanging="357"/>
        <w:numPr>
          <w:ilvl w:val="0"/>
          <w:numId w:val="2"/>
        </w:numPr>
      </w:pPr>
      <w:r>
        <w:t xml:space="preserve">Met stekkerdoos en elektronische aan-/uitschakelaar</w:t>
      </w:r>
    </w:p>
    <w:p>
      <w:pPr>
        <w:pStyle w:val="ListParagraph"/>
        <w:spacing w:after="0"/>
        <w:ind w:left="0" w:hanging="357"/>
        <w:numPr>
          <w:ilvl w:val="0"/>
          <w:numId w:val="2"/>
        </w:numPr>
      </w:pPr>
      <w:r>
        <w:t xml:space="preserve">Regelbare zuigkracht</w:t>
      </w:r>
    </w:p>
    <w:p>
      <w:pPr>
        <w:pStyle w:val="ListParagraph"/>
        <w:spacing w:after="0"/>
        <w:ind w:left="0" w:hanging="357"/>
        <w:numPr>
          <w:ilvl w:val="0"/>
          <w:numId w:val="2"/>
        </w:numPr>
      </w:pPr>
      <w:r>
        <w:t xml:space="preserve">Aanloopvertraging vermijdt spanningspieken bij het starten en de uitloopvertraging (15 sec. naloop) zorgt voor het ledigen van stofresten in de zuigslang</w:t>
      </w:r>
    </w:p>
    <w:p>
      <w:pPr>
        <w:pStyle w:val="ListParagraph"/>
        <w:spacing w:after="0"/>
        <w:ind w:left="0" w:hanging="357"/>
        <w:numPr>
          <w:ilvl w:val="0"/>
          <w:numId w:val="2"/>
        </w:numPr>
      </w:pPr>
      <w:r>
        <w:t xml:space="preserve">De complete anti-statische uitrusting voorkomt statische electriciteit aan zuigslang</w:t>
      </w:r>
    </w:p>
    <w:p>
      <w:pPr>
        <w:pStyle w:val="ListParagraph"/>
        <w:spacing w:after="0"/>
        <w:ind w:left="0" w:hanging="357"/>
        <w:numPr>
          <w:ilvl w:val="0"/>
          <w:numId w:val="2"/>
        </w:numPr>
      </w:pPr>
      <w:r>
        <w:t xml:space="preserve">Een flowsensor controleert het debiet en wekt een geluidssignaal op wanneer het zuigvermogen onder een voorgeschreven minimumwaarde daalt</w:t>
      </w:r>
    </w:p>
    <w:p>
      <w:pPr>
        <w:pStyle w:val="ListParagraph"/>
        <w:spacing w:after="0"/>
        <w:ind w:left="0" w:hanging="357"/>
        <w:numPr>
          <w:ilvl w:val="0"/>
          <w:numId w:val="2"/>
        </w:numPr>
      </w:pPr>
      <w:r>
        <w:t xml:space="preserve">Uitgerust met grote wielen en twee zwenkbare stuurwielen</w:t>
      </w:r>
    </w:p>
    <w:p>
      <w:pPr>
        <w:pStyle w:val="ListParagraph"/>
        <w:spacing w:after="0"/>
        <w:ind w:left="0" w:hanging="357"/>
        <w:numPr>
          <w:ilvl w:val="0"/>
          <w:numId w:val="2"/>
        </w:numPr>
      </w:pPr>
      <w:r>
        <w:t xml:space="preserve">Opbergmogelijkheid voor werktuigen op de bovenzijde van de stofzuiger en aan de achterzijde voor zuigmonden en zuigbuizen</w:t>
      </w:r>
    </w:p>
    <w:p>
      <w:pPr>
        <w:pStyle w:val="ListParagraph"/>
        <w:spacing w:after="0"/>
        <w:ind w:left="0" w:hanging="357"/>
        <w:numPr>
          <w:ilvl w:val="0"/>
          <w:numId w:val="2"/>
        </w:numPr>
      </w:pPr>
      <w:r>
        <w:t xml:space="preserve">Veiligheidsfilterzak voor het betrouwbaar afvoeren van het weggezogen stof.Dubbelwandige filterzak met aanvullende PE-hoes, met sluiting</w:t>
      </w:r>
    </w:p>
    <w:p>
      <w:pPr>
        <w:pStyle w:val="ListParagraph"/>
        <w:spacing w:after="0"/>
        <w:ind w:left="0" w:hanging="357"/>
        <w:numPr>
          <w:ilvl w:val="0"/>
          <w:numId w:val="2"/>
        </w:numPr>
      </w:pPr>
      <w:r>
        <w:t xml:space="preserve">Veiligheidsstofzuiger klasse H: Geschikt voor stof met een AGW-waarde &lt; 0,1 mg/m3, met extra testresultaat "asbest" gem. TRGS 519</w:t>
      </w:r>
    </w:p>
    <w:p>
      <w:pPr>
        <w:pStyle w:val="ListParagraph"/>
        <w:spacing w:after="0"/>
        <w:ind w:left="0" w:hanging="357"/>
        <w:numPr>
          <w:ilvl w:val="0"/>
          <w:numId w:val="2"/>
        </w:numPr>
      </w:pPr>
      <w:r>
        <w:t xml:space="preserve">Geschikt voor droge, niet-brandbare soorten stof, die gevaarlijk zijn voor de gezondheid, en kankerverwekkende soorten stof incl. asbest</w:t>
      </w:r>
    </w:p>
    <w:p>
      <w:pPr>
        <w:pStyle w:val="ListParagraph"/>
        <w:spacing w:after="0"/>
        <w:ind w:left="0" w:hanging="357"/>
        <w:numPr>
          <w:ilvl w:val="0"/>
          <w:numId w:val="2"/>
        </w:numPr>
      </w:pPr>
      <w:r>
        <w:t xml:space="preserve">Ideaal voor het saneren van schimmels, daken en wanden die met rotswol geisoleerd zijn, voor het saneren van asbest. Schuurstof van houten oppervlakken die met gevaarlijke houtbeschermingsmiddelen geimpregneerd werden en van gelakte oppervlakken, wanneer in de lak stoffen zitten zoals lood, nikkel, cadmium, chroom, zinkchromaat enz.</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0f47c4955fa4bb1" /><Relationship Type="http://schemas.openxmlformats.org/officeDocument/2006/relationships/numbering" Target="/word/numbering.xml" Id="R70fa9589aec9442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