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26 L MC</w:t>
      </w:r>
    </w:p>
    <w:p>
      <w:r>
        <w:drawing>
          <wp:inline distT="0" distB="0" distL="0" distR="0">
            <wp:extent cx="2419350" cy="2952750"/>
            <wp:effectExtent l="19050" t="0" r="0" b="0"/>
            <wp:docPr id="5" name="/ImageGen.ashx?image=/media/189622/vce26l_mc.jpg&amp;Height=310&amp;Text=&amp;Align=center&amp;FontSize=7" descr=""/>
            <wp:cNvGraphicFramePr>
              <a:graphicFrameLocks noChangeAspect="1"/>
            </wp:cNvGraphicFramePr>
            <a:graphic>
              <a:graphicData uri="http://schemas.openxmlformats.org/drawingml/2006/picture">
                <pic:pic>
                  <pic:nvPicPr>
                    <pic:cNvPr id="2" name="/ImageGen.ashx?image=/media/189622/vce26l_mc.jpg&amp;Height=310&amp;Text=&amp;Align=center&amp;FontSize=7" descr=""/>
                    <pic:cNvPicPr>
                      <a:picLocks noChangeAspect="1" noChangeArrowheads="1"/>
                    </pic:cNvPicPr>
                  </pic:nvPicPr>
                  <pic:blipFill>
                    <a:blip r:embed="R6ee008f1b79e4b18"/>
                    <a:srcRect/>
                    <a:stretch>
                      <a:fillRect/>
                    </a:stretch>
                  </pic:blipFill>
                  <pic:spPr bwMode="auto">
                    <a:xfrm>
                      <a:off x="0" y="0"/>
                      <a:ext cx="24193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rPr>
                <w:b/>
              </w:rPr>
              <w:t xml:space="preserve">1250 Watt</w:t>
            </w:r>
          </w:p>
        </w:tc>
      </w:tr>
      <w:tr>
        <w:tc>
          <w:tcPr/>
          <w:p>
            <w:r>
              <w:t xml:space="preserve">Max. volumedebiet</w:t>
            </w:r>
          </w:p>
        </w:tc>
        <w:tc>
          <w:tcPr/>
          <w:p>
            <w:r>
              <w:rPr>
                <w:b/>
              </w:rPr>
              <w:t xml:space="preserve">3600 l/min</w:t>
            </w:r>
          </w:p>
        </w:tc>
      </w:tr>
      <w:tr>
        <w:tc>
          <w:tcPr/>
          <w:p>
            <w:r>
              <w:t xml:space="preserve">Max. onderdruk</w:t>
            </w:r>
          </w:p>
        </w:tc>
        <w:tc>
          <w:tcPr/>
          <w:p>
            <w:r>
              <w:rPr>
                <w:b/>
              </w:rPr>
              <w:t xml:space="preserve">21000 Pa</w:t>
            </w:r>
          </w:p>
        </w:tc>
      </w:tr>
      <w:tr>
        <w:tc>
          <w:tcPr/>
          <w:p>
            <w:r>
              <w:t xml:space="preserve">Filteroppervlak</w:t>
            </w:r>
          </w:p>
        </w:tc>
        <w:tc>
          <w:tcPr/>
          <w:p>
            <w:r>
              <w:rPr>
                <w:b/>
              </w:rPr>
              <w:t xml:space="preserve">3000 cm²</w:t>
            </w:r>
          </w:p>
        </w:tc>
      </w:tr>
      <w:tr>
        <w:tc>
          <w:tcPr/>
          <w:p>
            <w:r>
              <w:t xml:space="preserve">Kuipinhoud</w:t>
            </w:r>
          </w:p>
        </w:tc>
        <w:tc>
          <w:tcPr/>
          <w:p>
            <w:r>
              <w:rPr>
                <w:b/>
              </w:rPr>
              <w:t xml:space="preserve">25 l</w:t>
            </w:r>
          </w:p>
        </w:tc>
      </w:tr>
      <w:tr>
        <w:tc>
          <w:tcPr/>
          <w:p>
            <w:r>
              <w:t xml:space="preserve">Vulhoeveelheid vloeistof</w:t>
            </w:r>
          </w:p>
        </w:tc>
        <w:tc>
          <w:tcPr/>
          <w:p>
            <w:r>
              <w:rPr>
                <w:b/>
              </w:rPr>
              <w:t xml:space="preserve">16 l</w:t>
            </w:r>
          </w:p>
        </w:tc>
      </w:tr>
      <w:tr>
        <w:tc>
          <w:tcPr/>
          <w:p>
            <w:r>
              <w:t xml:space="preserve">Stopcontact</w:t>
            </w:r>
          </w:p>
        </w:tc>
        <w:tc>
          <w:tcPr/>
          <w:p>
            <w:r>
              <w:rPr>
                <w:b/>
              </w:rPr>
              <w:t xml:space="preserve">100-2600 Watt</w:t>
            </w:r>
          </w:p>
        </w:tc>
      </w:tr>
      <w:tr>
        <w:tc>
          <w:tcPr/>
          <w:p>
            <w:r>
              <w:t xml:space="preserve">Afmeting (L x B x H)</w:t>
            </w:r>
          </w:p>
        </w:tc>
        <w:tc>
          <w:tcPr/>
          <w:p>
            <w:r>
              <w:rPr>
                <w:b/>
              </w:rPr>
              <w:t xml:space="preserve">397 x 377 x 533 mm</w:t>
            </w:r>
          </w:p>
        </w:tc>
      </w:tr>
      <w:tr>
        <w:tc>
          <w:tcPr/>
          <w:p>
            <w:r>
              <w:t xml:space="preserve">Gewicht</w:t>
            </w:r>
          </w:p>
        </w:tc>
        <w:tc>
          <w:tcPr/>
          <w:p>
            <w:r>
              <w:rPr>
                <w:b/>
              </w:rPr>
              <w:t xml:space="preserve">8,4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houder voor buishouder</w:t>
            </w:r>
          </w:p>
        </w:tc>
        <w:tc>
          <w:tcPr/>
          <w:p>
            <w:r>
              <w:t xml:space="preserve"> </w:t>
            </w:r>
          </w:p>
        </w:tc>
      </w:tr>
      <w:tr>
        <w:tc>
          <w:tcPr/>
          <w:p>
            <w:r>
              <w:t xml:space="preserve">1 gummi adapter</w:t>
            </w:r>
          </w:p>
        </w:tc>
        <w:tc>
          <w:tcPr/>
          <w:p>
            <w:r>
              <w:t xml:space="preserve"> </w:t>
            </w:r>
          </w:p>
        </w:tc>
      </w:tr>
      <w:tr>
        <w:tc>
          <w:tcPr/>
          <w:p>
            <w:r>
              <w:t xml:space="preserve">1 houder voor accessoires</w:t>
            </w:r>
          </w:p>
        </w:tc>
      </w:tr>
    </w:tbl>
    <w:p>
      <w:pPr>
        <w:pStyle w:val="heading 2"/>
      </w:pPr>
      <w:r>
        <w:rPr>
          <w:b/>
        </w:rPr>
        <w:t xml:space="preserve">Veiligheidsstofzuiger met manuele filterreiniging, 25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Zachte aanloop vermijdt spanningspieken bij het starten en de uitloopvertraging (5 sec. naloop) zorgt voor het ledigen van stofresten in de zuigslang</w:t>
      </w:r>
    </w:p>
    <w:p>
      <w:pPr>
        <w:pStyle w:val="ListParagraph"/>
        <w:spacing w:after="0"/>
        <w:ind w:left="0" w:hanging="357"/>
        <w:numPr>
          <w:ilvl w:val="0"/>
          <w:numId w:val="2"/>
        </w:numPr>
      </w:pPr>
      <w:r>
        <w:t xml:space="preserve">Traploze zuigkrachtregeling voor een aan het werktuig aangepaste zuigkracht</w:t>
      </w:r>
    </w:p>
    <w:p>
      <w:pPr>
        <w:pStyle w:val="ListParagraph"/>
        <w:spacing w:after="0"/>
        <w:ind w:left="0" w:hanging="357"/>
        <w:numPr>
          <w:ilvl w:val="0"/>
          <w:numId w:val="2"/>
        </w:numPr>
      </w:pPr>
      <w:r>
        <w:t xml:space="preserve">Praktische opbergmogelijkheid voor zuigmonden en zuigbuizen op de rug.</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e008f1b79e4b18" /><Relationship Type="http://schemas.openxmlformats.org/officeDocument/2006/relationships/numbering" Target="/word/numbering.xml" Id="R714675a2c72543a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