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2-28 SDS-plus</w:t>
      </w:r>
    </w:p>
    <w:p>
      <w:r>
        <w:drawing>
          <wp:inline distT="0" distB="0" distL="0" distR="0">
            <wp:extent cx="2847975" cy="2952750"/>
            <wp:effectExtent l="19050" t="0" r="0" b="0"/>
            <wp:docPr id="5" name="/ImageGen.ashx?image=/media/263474/che2-28_sds_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4/che2-28_sds_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a3baef1b4e4a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0-1300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0-4000 /min</w:t>
            </w:r>
          </w:p>
        </w:tc>
      </w:tr>
      <w:tr>
        <w:tc>
          <w:tcPr/>
          <w:p>
            <w:r>
              <w:t xml:space="preserve">Max. slagenergie (EPTA)</w:t>
            </w:r>
          </w:p>
        </w:tc>
        <w:tc>
          <w:tcPr/>
          <w:p>
            <w:r>
              <w:rPr>
                <w:b/>
              </w:rPr>
              <w:t xml:space="preserve">2,7 J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26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30 mm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2,65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417.742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417.769 </w:t>
            </w:r>
          </w:p>
        </w:tc>
      </w:tr>
      <w:tr>
        <w:tc>
          <w:tcPr/>
          <w:p>
            <w:r>
              <w:t xml:space="preserve">1 transportkoffer L-BOXX® 136    </w:t>
            </w:r>
          </w:p>
        </w:tc>
        <w:tc>
          <w:tcPr/>
          <w:p>
            <w:r>
              <w:rPr>
                <w:b/>
              </w:rPr>
              <w:t xml:space="preserve">414.085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414.042 </w:t>
            </w:r>
          </w:p>
        </w:tc>
      </w:tr>
    </w:tbl>
    <w:p>
      <w:pPr>
        <w:pStyle w:val="heading 2"/>
      </w:pPr>
      <w:r>
        <w:rPr>
          <w:b/>
        </w:rPr>
        <w:t xml:space="preserve">Universele boorhamer 2,5 kg, SDS-plus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800 Watt boor-en beitelhamer in pistoolgreep, met de functie rechts-linksloop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omschakeling via koolborstel, waardoor men bijna eenzelfde draaimoment in beide richtingen heeft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met of zonder hamerfunctie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Boordiepte-aanslag: voor precies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Draaistop om te beitelen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boorbereik tot 26 mm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geschikt voor boren/beitelen, diam. 4-18 mm in metselwerk en beton om pluggen te bevestigen en voor doorlopende gaten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lichte breekwerkzaamheden om pleister en tegels te verwijderen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a3baef1b4e4abd" /><Relationship Type="http://schemas.openxmlformats.org/officeDocument/2006/relationships/numbering" Target="/word/numbering.xml" Id="Rec2e5e7f8a2048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