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Mini Grinder</w:t>
      </w:r>
    </w:p>
    <w:p>
      <w:r>
        <w:rPr>
          <w:b/>
        </w:rPr>
        <w:t xml:space="preserve"> Arbortech Mini Grinder 1000W</w:t>
      </w:r>
    </w:p>
    <w:p>
      <w:r>
        <w:t xml:space="preserve">Dé alleskunner in compact formaat!</w:t>
      </w:r>
    </w:p>
    <w:p>
      <w:r>
        <w:t xml:space="preserve">De 1.000W tegelsnijder van Arbortech is speciaal ontworpen voor het precisiewerk in het slijpen van tegels en voegen. </w:t>
      </w:r>
    </w:p>
    <w:p>
      <w:r>
        <w:t xml:space="preserve">Deze veelzijdige Arbortech-machine is met zijn verlengarm perfect voor het bereiken van hoeken die andere slijpers niet kunnen bereiken. Met zijn regelbare toerental (6.000 – 19.500 RPM) is het dé universele slijptool voor elke professional. Een alleskunner in compact formaat!</w:t>
      </w:r>
    </w:p>
    <w:tbl>
      <w:tblPr>
        <w:tblW w:w="6135" w:type="dxa"/>
      </w:tblPr>
      <w:tblGrid>
        <w:gridCol/>
        <w:gridCol/>
      </w:tblGrid>
      <w:tr>
        <w:tc>
          <w:tcPr>
            <w:tcW w:w="183" w:type="dxa"/>
          </w:tcPr>
          <w:p>
            <w:r>
              <w:rPr>
                <w:b/>
              </w:rPr>
              <w:t xml:space="preserve">Model</w:t>
            </w:r>
          </w:p>
        </w:tc>
        <w:tc>
          <w:tcPr>
            <w:tcW w:w="227" w:type="dxa"/>
          </w:tcPr>
          <w:p>
            <w:r>
              <w:t xml:space="preserve">Arbortech Mini Grinder</w:t>
            </w:r>
          </w:p>
        </w:tc>
      </w:tr>
      <w:tr>
        <w:tc>
          <w:tcPr>
            <w:tcW w:w="183" w:type="dxa"/>
          </w:tcPr>
          <w:p>
            <w:r>
              <w:rPr>
                <w:b/>
              </w:rPr>
              <w:t xml:space="preserve">Bestelnummer</w:t>
            </w:r>
          </w:p>
        </w:tc>
        <w:tc>
          <w:tcPr>
            <w:tcW w:w="227" w:type="dxa"/>
          </w:tcPr>
          <w:p>
            <w:r>
              <w:t xml:space="preserve">K900000</w:t>
            </w:r>
          </w:p>
        </w:tc>
      </w:tr>
    </w:tbl>
    <w:p>
      <w:r>
        <w:t xml:space="preserve">Geschikte zaagbladen:</w:t>
      </w:r>
    </w:p>
    <w:p>
      <w:r>
        <w:t xml:space="preserve">Art.nr. 901110 - General Purpose</w:t>
      </w:r>
      <w:r>
        <w:br/>
      </w:r>
      <w:r>
        <w:t xml:space="preserve">Art.nr. 907000 - Headjoint</w:t>
      </w:r>
      <w:r>
        <w:br/>
      </w:r>
      <w:r>
        <w:t xml:space="preserve">Art.nr. 908000 - Heritage</w:t>
      </w:r>
      <w:r>
        <w:br/>
      </w:r>
      <w:r>
        <w:t xml:space="preserve">Art.nr. 904110 - Plunge</w:t>
      </w:r>
      <w:r>
        <w:br/>
      </w:r>
      <w:r>
        <w:t xml:space="preserve">Art.nr. 902110 - Switch Box</w:t>
      </w:r>
      <w:r>
        <w:br/>
      </w:r>
      <w:r>
        <w:t xml:space="preserve">Art.nr. 905110 - Tuck Pointing</w:t>
      </w:r>
    </w:p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