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18/32bi</w:t>
      </w:r>
    </w:p>
    <w:p>
      <w:r>
        <w:drawing>
          <wp:inline distT="0" distB="0" distL="0" distR="0">
            <wp:extent cx="2952750" cy="2952750"/>
            <wp:effectExtent l="19050" t="0" r="0" b="0"/>
            <wp:docPr id="5" name="/ImageGen.ashx?image=/media/377140/sgr-519-0166-sl.png&amp;Height=310&amp;Text=&amp;Align=center&amp;FontSize=7" descr=""/>
            <wp:cNvGraphicFramePr>
              <a:graphicFrameLocks noChangeAspect="1"/>
            </wp:cNvGraphicFramePr>
            <a:graphic>
              <a:graphicData uri="http://schemas.openxmlformats.org/drawingml/2006/picture">
                <pic:pic>
                  <pic:nvPicPr>
                    <pic:cNvPr id="2" name="/ImageGen.ashx?image=/media/377140/sgr-519-0166-sl.png&amp;Height=310&amp;Text=&amp;Align=center&amp;FontSize=7" descr=""/>
                    <pic:cNvPicPr>
                      <a:picLocks noChangeAspect="1" noChangeArrowheads="1"/>
                    </pic:cNvPicPr>
                  </pic:nvPicPr>
                  <pic:blipFill>
                    <a:blip r:embed="R0eef104796554bae"/>
                    <a:srcRect/>
                    <a:stretch>
                      <a:fillRect/>
                    </a:stretch>
                  </pic:blipFill>
                  <pic:spPr bwMode="auto">
                    <a:xfrm>
                      <a:off x="0" y="0"/>
                      <a:ext cx="2952750" cy="2952750"/>
                    </a:xfrm>
                    <a:prstGeom prst="rect">
                      <a:avLst/>
                    </a:prstGeom>
                  </pic:spPr>
                </pic:pic>
              </a:graphicData>
            </a:graphic>
          </wp:inline>
        </w:drawing>
      </w:r>
    </w:p>
    <w:p>
      <w:r>
        <w:rPr>
          <w:b/>
        </w:rPr>
        <w:t xml:space="preserve">OTKJ 18/32bi</w:t>
      </w:r>
    </w:p>
    <w:p>
      <w:r>
        <w:br/>
      </w:r>
      <w:r>
        <w:br/>
      </w:r>
    </w:p>
    <w:p>
      <w:pPr>
        <w:pStyle w:val="heading 3"/>
      </w:pPr>
      <w:r>
        <w:t xml:space="preserve">Uitvoering</w:t>
      </w:r>
    </w:p>
    <w:p>
      <w:r>
        <w:t xml:space="preserve">Starlock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519.0166</w:t>
            </w:r>
          </w:p>
        </w:tc>
        <w:tc>
          <w:tcPr/>
          <w:p>
            <w:r>
              <w:t xml:space="preserve"> </w:t>
            </w:r>
          </w:p>
        </w:tc>
        <w:tc>
          <w:tcPr/>
          <w:p>
            <w:r>
              <w:t xml:space="preserve">OTKJ 18/32bi [1x]     </w:t>
            </w:r>
          </w:p>
        </w:tc>
        <w:tc>
          <w:tcPr/>
          <w:p>
            <w:r>
              <w:t xml:space="preserve">AIZ 32 BSPB     </w:t>
            </w:r>
          </w:p>
        </w:tc>
        <w:tc>
          <w:tcPr/>
          <w:p>
            <w:r>
              <w:t xml:space="preserve">1</w:t>
            </w:r>
          </w:p>
        </w:tc>
      </w:tr>
      <w:tr>
        <w:tc>
          <w:tcPr/>
          <w:p>
            <w:r>
              <w:t xml:space="preserve">519.0167</w:t>
            </w:r>
          </w:p>
        </w:tc>
        <w:tc>
          <w:tcPr/>
          <w:p>
            <w:r>
              <w:t xml:space="preserve"> </w:t>
            </w:r>
          </w:p>
        </w:tc>
        <w:tc>
          <w:tcPr/>
          <w:p>
            <w:r>
              <w:t xml:space="preserve">OTKJ 18/32bi [5x]</w:t>
            </w:r>
          </w:p>
        </w:tc>
        <w:tc>
          <w:tcPr/>
          <w:p>
            <w:r>
              <w:t xml:space="preserve">AIZ 32 BSPB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eef104796554ba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