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Asfalt Profi Plus</w:t>
      </w:r>
    </w:p>
    <w:p>
      <w:r>
        <w:drawing>
          <wp:inline distT="0" distB="0" distL="0" distR="0">
            <wp:extent cx="2971800" cy="2952750"/>
            <wp:effectExtent l="19050" t="0" r="0" b="0"/>
            <wp:docPr id="5" name="/ImageGen.ashx?image=/media/397347/van-deursen-laser-asphalt-profi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47/van-deursen-laser-asphalt-profi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3af0ce8c31f4cd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Asfalt, Abrasieve materialen, verse Beton, Gasbeton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Uitstekende zaageigenschappen en goede standtijd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Stabiele staalkern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de wegenbouw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zaagmachines tot 35 kW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Driehoek beschermsegmenten verhinderen undercutting en daarmee tandbreuk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300 - 900 mm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3af0ce8c31f4cdf" /><Relationship Type="http://schemas.openxmlformats.org/officeDocument/2006/relationships/numbering" Target="/word/numbering.xml" Id="Reb45dd2f7906412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