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Bluetube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8/blue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8/blue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077f2cdb5d4d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43100"/>
            <wp:effectExtent l="19050" t="0" r="0" b="0"/>
            <wp:docPr id="6" name="/media/350999/blue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9/bluetube2.jpg" descr="Bluetube2"/>
                    <pic:cNvPicPr>
                      <a:picLocks noChangeAspect="1" noChangeArrowheads="1"/>
                    </pic:cNvPicPr>
                  </pic:nvPicPr>
                  <pic:blipFill>
                    <a:blip r:embed="R9511b8cfc60b41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333333"/>
          <w:b/>
        </w:rPr>
        <w:t xml:space="preserve">BLUETOOTH WERKSPEAKER MET MULTI-FUNCTIONELE GEBRUIKERS INTERFACE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Ingebouwde “Long-Player”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2,25 inch 360 graden Neodymium speaker 14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 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Ingebouwde "Long-Player" Lithium-Polymeer accu (2 cellen van elk 4100 mAh)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op 12V (externe 12V accu-voeding)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de accu bij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Toetsblokkering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 LCD 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"LED"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Stroom- en oplaadadapter (type T-ADAPTOR)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790 gram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9 x 23 x 9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077f2cdb5d4da6" /><Relationship Type="http://schemas.openxmlformats.org/officeDocument/2006/relationships/image" Target="/media/image4.jpg" Id="R9511b8cfc60b414d" /><Relationship Type="http://schemas.openxmlformats.org/officeDocument/2006/relationships/numbering" Target="/word/numbering.xml" Id="Rf48bf52cde1a46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