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6105020</w:t>
      </w:r>
    </w:p>
    <w:p>
      <w:r>
        <w:drawing>
          <wp:inline distT="0" distB="0" distL="0" distR="0">
            <wp:extent cx="2381250" cy="2952750"/>
            <wp:effectExtent l="19050" t="0" r="0" b="0"/>
            <wp:docPr id="5" name="/ImageGen.ashx?image=/media/263633/6105000.jpg&amp;Height=310&amp;Text=&amp;Align=center&amp;FontSize=7" descr=""/>
            <wp:cNvGraphicFramePr>
              <a:graphicFrameLocks noChangeAspect="1"/>
            </wp:cNvGraphicFramePr>
            <a:graphic>
              <a:graphicData uri="http://schemas.openxmlformats.org/drawingml/2006/picture">
                <pic:pic>
                  <pic:nvPicPr>
                    <pic:cNvPr id="2" name="/ImageGen.ashx?image=/media/263633/6105000.jpg&amp;Height=310&amp;Text=&amp;Align=center&amp;FontSize=7" descr=""/>
                    <pic:cNvPicPr>
                      <a:picLocks noChangeAspect="1" noChangeArrowheads="1"/>
                    </pic:cNvPicPr>
                  </pic:nvPicPr>
                  <pic:blipFill>
                    <a:blip r:embed="Rbf7c9614a9c14e98"/>
                    <a:srcRect/>
                    <a:stretch>
                      <a:fillRect/>
                    </a:stretch>
                  </pic:blipFill>
                  <pic:spPr bwMode="auto">
                    <a:xfrm>
                      <a:off x="0" y="0"/>
                      <a:ext cx="2381250" cy="2952750"/>
                    </a:xfrm>
                    <a:prstGeom prst="rect">
                      <a:avLst/>
                    </a:prstGeom>
                  </pic:spPr>
                </pic:pic>
              </a:graphicData>
            </a:graphic>
          </wp:inline>
        </w:drawing>
      </w:r>
    </w:p>
    <w:p>
      <w:r>
        <w:rPr>
          <w:b/>
        </w:rPr>
        <w:t xml:space="preserve">Bouwlamp Spartacus II</w:t>
      </w:r>
    </w:p>
    <w:p>
      <w:r>
        <w:t xml:space="preserve">PL-E 57W - IP65</w:t>
      </w:r>
    </w:p>
    <w:p>
      <w:r>
        <w:t xml:space="preserve">Professionele koepellamp met twee componenten behuizing en slagvaste polycarbonaatkap voor toepassing in ruimten waar de plaats van het armatuur vaak wisselt. Snelle bevestiging door geïntegreerde ophanghaak. Met gesloten brede reflectorkap voor egale spreiding van het licht. </w:t>
      </w:r>
      <w:r>
        <w:t xml:space="preserve">Technische gegevens:</w:t>
      </w:r>
    </w:p>
    <w:tbl>
      <w:tblPr>
        <w:tblW w:w="auto" w:type="pct"/>
      </w:tblPr>
      <w:tblGrid>
        <w:gridCol/>
        <w:gridCol/>
      </w:tblGrid>
      <w:tr>
        <w:tc>
          <w:tcPr>
            <w:tcW w:w="150" w:type="dxa"/>
          </w:tcPr>
          <w:p>
            <w:r>
              <w:t xml:space="preserve">Artikelnummer</w:t>
            </w:r>
          </w:p>
        </w:tc>
        <w:tc>
          <w:tcPr/>
          <w:p>
            <w:r>
              <w:t xml:space="preserve">61.050.20</w:t>
            </w:r>
          </w:p>
        </w:tc>
      </w:tr>
      <w:tr>
        <w:tc>
          <w:tcPr/>
          <w:p>
            <w:r>
              <w:t xml:space="preserve">EAN code</w:t>
            </w:r>
          </w:p>
        </w:tc>
        <w:tc>
          <w:tcPr/>
          <w:p>
            <w:r>
              <w:t xml:space="preserve">4017506051289</w:t>
            </w:r>
          </w:p>
        </w:tc>
      </w:tr>
      <w:tr>
        <w:tc>
          <w:tcPr/>
          <w:p>
            <w:r>
              <w:t xml:space="preserve">Merk</w:t>
            </w:r>
          </w:p>
        </w:tc>
        <w:tc>
          <w:tcPr/>
          <w:p>
            <w:r>
              <w:t xml:space="preserve">Sonlux</w:t>
            </w:r>
          </w:p>
        </w:tc>
      </w:tr>
      <w:tr>
        <w:tc>
          <w:tcPr/>
          <w:p>
            <w:r>
              <w:t xml:space="preserve">Vermogen</w:t>
            </w:r>
          </w:p>
        </w:tc>
        <w:tc>
          <w:tcPr/>
          <w:p>
            <w:r>
              <w:t xml:space="preserve">32 Watt</w:t>
            </w:r>
          </w:p>
        </w:tc>
      </w:tr>
      <w:tr>
        <w:tc>
          <w:tcPr/>
          <w:p>
            <w:r>
              <w:t xml:space="preserve">Spanning</w:t>
            </w:r>
          </w:p>
        </w:tc>
        <w:tc>
          <w:tcPr/>
          <w:p>
            <w:r>
              <w:t xml:space="preserve">230 Volt</w:t>
            </w:r>
          </w:p>
        </w:tc>
      </w:tr>
      <w:tr>
        <w:tc>
          <w:tcPr/>
          <w:p>
            <w:r>
              <w:t xml:space="preserve">Beschermklasse</w:t>
            </w:r>
          </w:p>
        </w:tc>
        <w:tc>
          <w:tcPr/>
          <w:p>
            <w:r>
              <w:t xml:space="preserve">II (dubbel geïsoleerd)</w:t>
            </w:r>
          </w:p>
        </w:tc>
      </w:tr>
      <w:tr>
        <w:tc>
          <w:tcPr/>
          <w:p>
            <w:r>
              <w:t xml:space="preserve">Beschermingsgraad</w:t>
            </w:r>
          </w:p>
        </w:tc>
        <w:tc>
          <w:tcPr/>
          <w:p>
            <w:r>
              <w:t xml:space="preserve">IP 65</w:t>
            </w:r>
          </w:p>
        </w:tc>
      </w:tr>
      <w:tr>
        <w:tc>
          <w:tcPr/>
          <w:p>
            <w:r>
              <w:t xml:space="preserve">Lamphouder</w:t>
            </w:r>
          </w:p>
        </w:tc>
        <w:tc>
          <w:tcPr/>
          <w:p>
            <w:r>
              <w:t xml:space="preserve">PL-E</w:t>
            </w:r>
          </w:p>
        </w:tc>
      </w:tr>
      <w:tr>
        <w:tc>
          <w:tcPr/>
          <w:p>
            <w:r>
              <w:t xml:space="preserve">Lichtbron</w:t>
            </w:r>
          </w:p>
        </w:tc>
        <w:tc>
          <w:tcPr/>
          <w:p>
            <w:r>
              <w:t xml:space="preserve">PL-E lamp 57Watt</w:t>
            </w:r>
          </w:p>
        </w:tc>
      </w:tr>
      <w:tr>
        <w:tc>
          <w:tcPr/>
          <w:p>
            <w:r>
              <w:t xml:space="preserve">Kabel</w:t>
            </w:r>
          </w:p>
        </w:tc>
        <w:tc>
          <w:tcPr/>
          <w:p>
            <w:r>
              <w:t xml:space="preserve">5 meter</w:t>
            </w:r>
          </w:p>
        </w:tc>
      </w:tr>
      <w:tr>
        <w:tc>
          <w:tcPr/>
          <w:p>
            <w:r>
              <w:t xml:space="preserve">Kabelsoort</w:t>
            </w:r>
          </w:p>
        </w:tc>
        <w:tc>
          <w:tcPr/>
          <w:p>
            <w:r>
              <w:t xml:space="preserve">H07RN-F (neopreen)</w:t>
            </w:r>
          </w:p>
        </w:tc>
      </w:tr>
      <w:tr>
        <w:tc>
          <w:tcPr/>
          <w:p>
            <w:r>
              <w:t xml:space="preserve">Aders/doorsnede</w:t>
            </w:r>
          </w:p>
        </w:tc>
        <w:tc>
          <w:tcPr/>
          <w:p>
            <w:r>
              <w:t xml:space="preserve">2 x 1,0 mm²</w:t>
            </w:r>
          </w:p>
        </w:tc>
      </w:tr>
      <w:tr>
        <w:tc>
          <w:tcPr/>
          <w:p>
            <w:r>
              <w:t xml:space="preserve">Contactdozen</w:t>
            </w:r>
          </w:p>
        </w:tc>
        <w:tc>
          <w:tcPr/>
          <w:p>
            <w:r>
              <w:t xml:space="preserve">geen</w:t>
            </w:r>
          </w:p>
        </w:tc>
      </w:tr>
      <w:tr>
        <w:tc>
          <w:tcPr/>
          <w:p>
            <w:r>
              <w:t xml:space="preserve">Schakelaar</w:t>
            </w:r>
          </w:p>
        </w:tc>
        <w:tc>
          <w:tcPr/>
          <w:p>
            <w:r>
              <w:t xml:space="preserve">Nee</w:t>
            </w:r>
          </w:p>
        </w:tc>
      </w:tr>
      <w:tr>
        <w:tc>
          <w:tcPr/>
          <w:p>
            <w:r>
              <w:t xml:space="preserve">Afmetingen (hxbxd)</w:t>
            </w:r>
          </w:p>
        </w:tc>
        <w:tc>
          <w:tcPr/>
          <w:p>
            <w:r>
              <w:t xml:space="preserve">380 x 320 x 320 mm</w:t>
            </w:r>
          </w:p>
        </w:tc>
      </w:tr>
      <w:tr>
        <w:tc>
          <w:tcPr/>
          <w:p>
            <w:r>
              <w:t xml:space="preserve">Gewicht</w:t>
            </w:r>
          </w:p>
        </w:tc>
        <w:tc>
          <w:tcPr/>
          <w:p>
            <w:r>
              <w:t xml:space="preserve">2,3 kg</w:t>
            </w:r>
          </w:p>
        </w:tc>
      </w:tr>
      <w:tr>
        <w:tc>
          <w:tcPr/>
          <w:p>
            <w:r>
              <w:t xml:space="preserve">Lumen</w:t>
            </w:r>
          </w:p>
        </w:tc>
        <w:tc>
          <w:tcPr/>
          <w:p>
            <w:r>
              <w:t xml:space="preserve">4300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f7c9614a9c14e9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