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Digitale stekker hygrostaat</w:t>
      </w:r>
    </w:p>
    <w:p>
      <w:r>
        <w:drawing>
          <wp:inline distT="0" distB="0" distL="0" distR="0">
            <wp:extent cx="4848225" cy="2952750"/>
            <wp:effectExtent l="19050" t="0" r="0" b="0"/>
            <wp:docPr id="5" name="/ImageGen.ashx?image=/media/143642/stekker-hygrost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2/stekker-hygrost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c2226fdcb64c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10-90 %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5 %</w:t>
            </w:r>
          </w:p>
        </w:tc>
      </w:tr>
      <w:tr>
        <w:tc>
          <w:tcPr/>
          <w:p>
            <w:r>
              <w:rPr>
                <w:b/>
              </w:rPr>
              <w:t xml:space="preserve">Max. schakelvermogen</w:t>
            </w:r>
          </w:p>
        </w:tc>
        <w:tc>
          <w:tcPr/>
          <w:p>
            <w:r>
              <w:t xml:space="preserve">12/2760 A/W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110 x 57 x 40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c2226fdcb64c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